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BA2A2" w14:textId="0C56C611" w:rsidR="002240E7" w:rsidRPr="00B15F8A" w:rsidRDefault="005E0E48" w:rsidP="00B15F8A">
      <w:pPr>
        <w:spacing w:line="240" w:lineRule="auto"/>
        <w:jc w:val="center"/>
        <w:rPr>
          <w:rFonts w:ascii="Times New Roman" w:hAnsi="Times New Roman" w:cs="Times New Roman"/>
          <w:b/>
          <w:bCs/>
          <w:sz w:val="27"/>
          <w:szCs w:val="27"/>
        </w:rPr>
      </w:pPr>
      <w:r w:rsidRPr="00B15F8A">
        <w:rPr>
          <w:rFonts w:ascii="Times New Roman" w:hAnsi="Times New Roman" w:cs="Times New Roman"/>
          <w:b/>
          <w:bCs/>
          <w:sz w:val="27"/>
          <w:szCs w:val="27"/>
        </w:rPr>
        <w:t>TERMES DE RÉFÉRENCE</w:t>
      </w:r>
    </w:p>
    <w:p w14:paraId="2D9ADD9F" w14:textId="77777777" w:rsidR="002240E7" w:rsidRPr="00B15F8A" w:rsidRDefault="002240E7" w:rsidP="00B15F8A">
      <w:pPr>
        <w:spacing w:line="240" w:lineRule="auto"/>
        <w:jc w:val="center"/>
        <w:rPr>
          <w:rFonts w:ascii="Times New Roman" w:hAnsi="Times New Roman" w:cs="Times New Roman"/>
          <w:b/>
          <w:bCs/>
          <w:sz w:val="27"/>
          <w:szCs w:val="27"/>
        </w:rPr>
      </w:pPr>
    </w:p>
    <w:p w14:paraId="2934DC28" w14:textId="77F9276E" w:rsidR="005E0E48" w:rsidRPr="00B15F8A" w:rsidRDefault="005E0E48" w:rsidP="00B15F8A">
      <w:pPr>
        <w:spacing w:line="240" w:lineRule="auto"/>
        <w:jc w:val="center"/>
        <w:rPr>
          <w:rFonts w:ascii="Times New Roman" w:hAnsi="Times New Roman" w:cs="Times New Roman"/>
          <w:b/>
          <w:bCs/>
          <w:sz w:val="27"/>
          <w:szCs w:val="27"/>
        </w:rPr>
      </w:pPr>
      <w:r w:rsidRPr="00B15F8A">
        <w:rPr>
          <w:rFonts w:ascii="Times New Roman" w:hAnsi="Times New Roman" w:cs="Times New Roman"/>
          <w:b/>
          <w:bCs/>
          <w:sz w:val="27"/>
          <w:szCs w:val="27"/>
        </w:rPr>
        <w:t>SÉLECTION D’UN BUREAU D’ÉTUDES POUR LA RESTRUCTURATION DU SERVICE D’AUDIT INFORMATIQUE DE LA DIRECTION D’AUDIT INTERNE DE LA BANQUE DE LA RÉPUBLIQUE D’HAÏTI (BRH)</w:t>
      </w:r>
    </w:p>
    <w:p w14:paraId="6BEEA845" w14:textId="77777777" w:rsidR="00A940A3" w:rsidRPr="00B15F8A" w:rsidRDefault="00A940A3" w:rsidP="00B15F8A">
      <w:pPr>
        <w:spacing w:line="240" w:lineRule="auto"/>
        <w:jc w:val="both"/>
        <w:rPr>
          <w:rFonts w:ascii="Times New Roman" w:hAnsi="Times New Roman" w:cs="Times New Roman"/>
          <w:b/>
          <w:bCs/>
          <w:sz w:val="27"/>
          <w:szCs w:val="27"/>
        </w:rPr>
      </w:pPr>
    </w:p>
    <w:tbl>
      <w:tblPr>
        <w:tblW w:w="1044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20"/>
        <w:gridCol w:w="7020"/>
      </w:tblGrid>
      <w:tr w:rsidR="00C04E80" w:rsidRPr="00B15F8A" w14:paraId="74C7AD49" w14:textId="77777777" w:rsidTr="00C969C4">
        <w:trPr>
          <w:trHeight w:val="1298"/>
        </w:trPr>
        <w:tc>
          <w:tcPr>
            <w:tcW w:w="3420" w:type="dxa"/>
            <w:shd w:val="clear" w:color="auto" w:fill="E6E6E6"/>
            <w:vAlign w:val="center"/>
          </w:tcPr>
          <w:p w14:paraId="3DBA52AE" w14:textId="77777777" w:rsidR="00C04E80" w:rsidRPr="00B15F8A" w:rsidRDefault="00C04E80" w:rsidP="00B15F8A">
            <w:pPr>
              <w:spacing w:before="60"/>
              <w:jc w:val="both"/>
              <w:outlineLvl w:val="0"/>
              <w:rPr>
                <w:rFonts w:ascii="Times New Roman" w:hAnsi="Times New Roman" w:cs="Times New Roman"/>
                <w:b/>
                <w:bCs/>
              </w:rPr>
            </w:pPr>
            <w:r w:rsidRPr="00B15F8A">
              <w:rPr>
                <w:rFonts w:ascii="Times New Roman" w:hAnsi="Times New Roman" w:cs="Times New Roman"/>
                <w:b/>
                <w:bCs/>
              </w:rPr>
              <w:t>Intitulé de la mission</w:t>
            </w:r>
          </w:p>
        </w:tc>
        <w:tc>
          <w:tcPr>
            <w:tcW w:w="7020" w:type="dxa"/>
            <w:vAlign w:val="center"/>
          </w:tcPr>
          <w:p w14:paraId="3002C18B" w14:textId="77777777" w:rsidR="00C04E80" w:rsidRPr="00B15F8A" w:rsidRDefault="00402A51" w:rsidP="00B15F8A">
            <w:pPr>
              <w:jc w:val="both"/>
              <w:rPr>
                <w:rFonts w:ascii="Times New Roman" w:hAnsi="Times New Roman" w:cs="Times New Roman"/>
              </w:rPr>
            </w:pPr>
            <w:bookmarkStart w:id="0" w:name="_Hlk236301617"/>
            <w:r w:rsidRPr="00B15F8A">
              <w:rPr>
                <w:rFonts w:ascii="Times New Roman" w:hAnsi="Times New Roman" w:cs="Times New Roman"/>
              </w:rPr>
              <w:t>Sélection d’un bureau d’études pour la restructuration du service d’audit informatique de la Direction d’Audit Interne de la Banque de la République d’Haïti (BRH</w:t>
            </w:r>
            <w:bookmarkEnd w:id="0"/>
            <w:r w:rsidRPr="00B15F8A">
              <w:rPr>
                <w:rFonts w:ascii="Times New Roman" w:hAnsi="Times New Roman" w:cs="Times New Roman"/>
              </w:rPr>
              <w:t>)</w:t>
            </w:r>
          </w:p>
        </w:tc>
      </w:tr>
      <w:tr w:rsidR="00C04E80" w:rsidRPr="00B15F8A" w14:paraId="2A4AA2D8" w14:textId="77777777" w:rsidTr="00C969C4">
        <w:trPr>
          <w:trHeight w:val="315"/>
        </w:trPr>
        <w:tc>
          <w:tcPr>
            <w:tcW w:w="3420" w:type="dxa"/>
            <w:shd w:val="clear" w:color="auto" w:fill="E6E6E6"/>
            <w:vAlign w:val="center"/>
          </w:tcPr>
          <w:p w14:paraId="2B4FC7C6" w14:textId="77777777" w:rsidR="00C04E80" w:rsidRPr="00B15F8A" w:rsidRDefault="00C04E80" w:rsidP="00B15F8A">
            <w:pPr>
              <w:spacing w:before="60"/>
              <w:jc w:val="both"/>
              <w:outlineLvl w:val="0"/>
              <w:rPr>
                <w:rFonts w:ascii="Times New Roman" w:hAnsi="Times New Roman" w:cs="Times New Roman"/>
                <w:b/>
                <w:bCs/>
              </w:rPr>
            </w:pPr>
            <w:r w:rsidRPr="00B15F8A">
              <w:rPr>
                <w:rFonts w:ascii="Times New Roman" w:hAnsi="Times New Roman" w:cs="Times New Roman"/>
                <w:b/>
                <w:bCs/>
              </w:rPr>
              <w:t>Bénéficiaire(s)</w:t>
            </w:r>
          </w:p>
        </w:tc>
        <w:tc>
          <w:tcPr>
            <w:tcW w:w="7020" w:type="dxa"/>
            <w:vAlign w:val="center"/>
          </w:tcPr>
          <w:p w14:paraId="2EAFD351" w14:textId="77777777" w:rsidR="00C04E80" w:rsidRPr="00B15F8A" w:rsidRDefault="00C04E80" w:rsidP="00B15F8A">
            <w:pPr>
              <w:spacing w:before="60"/>
              <w:jc w:val="both"/>
              <w:outlineLvl w:val="0"/>
              <w:rPr>
                <w:rFonts w:ascii="Times New Roman" w:hAnsi="Times New Roman" w:cs="Times New Roman"/>
              </w:rPr>
            </w:pPr>
            <w:r w:rsidRPr="00B15F8A">
              <w:rPr>
                <w:rFonts w:ascii="Times New Roman" w:hAnsi="Times New Roman" w:cs="Times New Roman"/>
              </w:rPr>
              <w:t>Banque de la République d’Haïti (BRH)</w:t>
            </w:r>
          </w:p>
        </w:tc>
      </w:tr>
      <w:tr w:rsidR="00C04E80" w:rsidRPr="00B15F8A" w14:paraId="4F599D13" w14:textId="77777777" w:rsidTr="00C969C4">
        <w:trPr>
          <w:trHeight w:val="330"/>
        </w:trPr>
        <w:tc>
          <w:tcPr>
            <w:tcW w:w="3420" w:type="dxa"/>
            <w:shd w:val="clear" w:color="auto" w:fill="E6E6E6"/>
            <w:vAlign w:val="center"/>
          </w:tcPr>
          <w:p w14:paraId="0C55F8D6" w14:textId="77777777" w:rsidR="00C04E80" w:rsidRPr="00B15F8A" w:rsidRDefault="00C04E80" w:rsidP="00B15F8A">
            <w:pPr>
              <w:spacing w:before="60"/>
              <w:jc w:val="both"/>
              <w:outlineLvl w:val="0"/>
              <w:rPr>
                <w:rFonts w:ascii="Times New Roman" w:hAnsi="Times New Roman" w:cs="Times New Roman"/>
                <w:b/>
                <w:bCs/>
              </w:rPr>
            </w:pPr>
            <w:r w:rsidRPr="00B15F8A">
              <w:rPr>
                <w:rFonts w:ascii="Times New Roman" w:hAnsi="Times New Roman" w:cs="Times New Roman"/>
                <w:b/>
                <w:bCs/>
              </w:rPr>
              <w:t>Pays</w:t>
            </w:r>
          </w:p>
        </w:tc>
        <w:tc>
          <w:tcPr>
            <w:tcW w:w="7020" w:type="dxa"/>
            <w:vAlign w:val="center"/>
          </w:tcPr>
          <w:p w14:paraId="5937DE57" w14:textId="77777777" w:rsidR="00C04E80" w:rsidRPr="00B15F8A" w:rsidRDefault="00C04E80" w:rsidP="00B15F8A">
            <w:pPr>
              <w:jc w:val="both"/>
              <w:rPr>
                <w:rFonts w:ascii="Times New Roman" w:hAnsi="Times New Roman" w:cs="Times New Roman"/>
              </w:rPr>
            </w:pPr>
            <w:r w:rsidRPr="00B15F8A">
              <w:rPr>
                <w:rFonts w:ascii="Times New Roman" w:hAnsi="Times New Roman" w:cs="Times New Roman"/>
              </w:rPr>
              <w:t>Haïti</w:t>
            </w:r>
          </w:p>
        </w:tc>
      </w:tr>
      <w:tr w:rsidR="00C04E80" w:rsidRPr="00B15F8A" w14:paraId="4E96CD72" w14:textId="77777777" w:rsidTr="00C969C4">
        <w:trPr>
          <w:trHeight w:val="330"/>
        </w:trPr>
        <w:tc>
          <w:tcPr>
            <w:tcW w:w="3420" w:type="dxa"/>
            <w:shd w:val="clear" w:color="auto" w:fill="E6E6E6"/>
            <w:vAlign w:val="center"/>
          </w:tcPr>
          <w:p w14:paraId="3BEBCA34" w14:textId="77777777" w:rsidR="00C04E80" w:rsidRPr="00B15F8A" w:rsidRDefault="00C04E80" w:rsidP="00B15F8A">
            <w:pPr>
              <w:spacing w:before="60"/>
              <w:jc w:val="both"/>
              <w:outlineLvl w:val="0"/>
              <w:rPr>
                <w:rFonts w:ascii="Times New Roman" w:hAnsi="Times New Roman" w:cs="Times New Roman"/>
                <w:b/>
                <w:bCs/>
              </w:rPr>
            </w:pPr>
            <w:r w:rsidRPr="00B15F8A">
              <w:rPr>
                <w:rFonts w:ascii="Times New Roman" w:hAnsi="Times New Roman" w:cs="Times New Roman"/>
                <w:b/>
                <w:bCs/>
              </w:rPr>
              <w:t xml:space="preserve">Lieu de travail </w:t>
            </w:r>
          </w:p>
        </w:tc>
        <w:tc>
          <w:tcPr>
            <w:tcW w:w="7020" w:type="dxa"/>
            <w:vAlign w:val="center"/>
          </w:tcPr>
          <w:p w14:paraId="575E0FF3" w14:textId="64BA1AA0" w:rsidR="002240E7" w:rsidRPr="00B15F8A" w:rsidRDefault="00C04E80" w:rsidP="00B15F8A">
            <w:pPr>
              <w:jc w:val="both"/>
              <w:rPr>
                <w:rFonts w:ascii="Times New Roman" w:hAnsi="Times New Roman" w:cs="Times New Roman"/>
              </w:rPr>
            </w:pPr>
            <w:r w:rsidRPr="00B15F8A">
              <w:rPr>
                <w:rFonts w:ascii="Times New Roman" w:hAnsi="Times New Roman" w:cs="Times New Roman"/>
              </w:rPr>
              <w:t xml:space="preserve">Présentiel </w:t>
            </w:r>
            <w:bookmarkStart w:id="1" w:name="_Hlk236301142"/>
            <w:r w:rsidR="002E4E10" w:rsidRPr="00B15F8A">
              <w:rPr>
                <w:rFonts w:ascii="Times New Roman" w:hAnsi="Times New Roman" w:cs="Times New Roman"/>
              </w:rPr>
              <w:t>(30</w:t>
            </w:r>
            <w:r w:rsidRPr="00B15F8A">
              <w:rPr>
                <w:rFonts w:ascii="Times New Roman" w:hAnsi="Times New Roman" w:cs="Times New Roman"/>
              </w:rPr>
              <w:t xml:space="preserve">% à Port-au-Prince et/ ou Cap-Haitien) </w:t>
            </w:r>
            <w:bookmarkStart w:id="2" w:name="_Hlk236301158"/>
            <w:bookmarkEnd w:id="1"/>
            <w:r w:rsidRPr="00B15F8A">
              <w:rPr>
                <w:rFonts w:ascii="Times New Roman" w:hAnsi="Times New Roman" w:cs="Times New Roman"/>
              </w:rPr>
              <w:t>et 70% distanciel</w:t>
            </w:r>
            <w:bookmarkEnd w:id="2"/>
          </w:p>
        </w:tc>
      </w:tr>
      <w:tr w:rsidR="002240E7" w:rsidRPr="00B15F8A" w14:paraId="4ABD9B9C" w14:textId="77777777" w:rsidTr="006B6E33">
        <w:trPr>
          <w:trHeight w:val="218"/>
        </w:trPr>
        <w:tc>
          <w:tcPr>
            <w:tcW w:w="3420" w:type="dxa"/>
            <w:shd w:val="clear" w:color="auto" w:fill="E6E6E6"/>
            <w:vAlign w:val="center"/>
          </w:tcPr>
          <w:p w14:paraId="0A546509" w14:textId="77777777" w:rsidR="002240E7" w:rsidRPr="00B15F8A" w:rsidRDefault="002240E7" w:rsidP="00B15F8A">
            <w:pPr>
              <w:spacing w:before="60"/>
              <w:jc w:val="both"/>
              <w:outlineLvl w:val="0"/>
              <w:rPr>
                <w:rFonts w:ascii="Times New Roman" w:hAnsi="Times New Roman" w:cs="Times New Roman"/>
                <w:b/>
                <w:bCs/>
              </w:rPr>
            </w:pPr>
            <w:r w:rsidRPr="00B15F8A">
              <w:rPr>
                <w:rFonts w:ascii="Times New Roman" w:hAnsi="Times New Roman" w:cs="Times New Roman"/>
                <w:b/>
              </w:rPr>
              <w:t>Type de contrat</w:t>
            </w:r>
          </w:p>
        </w:tc>
        <w:tc>
          <w:tcPr>
            <w:tcW w:w="7020" w:type="dxa"/>
            <w:vAlign w:val="bottom"/>
          </w:tcPr>
          <w:p w14:paraId="62B4BCD8" w14:textId="77777777" w:rsidR="002240E7" w:rsidRPr="00B15F8A" w:rsidRDefault="002240E7" w:rsidP="00B15F8A">
            <w:pPr>
              <w:spacing w:before="60"/>
              <w:jc w:val="both"/>
              <w:outlineLvl w:val="0"/>
              <w:rPr>
                <w:rFonts w:ascii="Times New Roman" w:hAnsi="Times New Roman" w:cs="Times New Roman"/>
              </w:rPr>
            </w:pPr>
            <w:r w:rsidRPr="00B15F8A">
              <w:rPr>
                <w:rFonts w:ascii="Times New Roman" w:hAnsi="Times New Roman" w:cs="Times New Roman"/>
              </w:rPr>
              <w:t>Contrat de prestation de services avec un bureau d’études</w:t>
            </w:r>
          </w:p>
        </w:tc>
      </w:tr>
      <w:tr w:rsidR="002240E7" w:rsidRPr="00B15F8A" w14:paraId="1E10F835" w14:textId="77777777" w:rsidTr="00C969C4">
        <w:trPr>
          <w:trHeight w:val="218"/>
        </w:trPr>
        <w:tc>
          <w:tcPr>
            <w:tcW w:w="3420" w:type="dxa"/>
            <w:shd w:val="clear" w:color="auto" w:fill="E6E6E6"/>
            <w:vAlign w:val="center"/>
          </w:tcPr>
          <w:p w14:paraId="67079426" w14:textId="77777777" w:rsidR="002240E7" w:rsidRPr="00B15F8A" w:rsidRDefault="002240E7" w:rsidP="00B15F8A">
            <w:pPr>
              <w:spacing w:before="60"/>
              <w:jc w:val="both"/>
              <w:outlineLvl w:val="0"/>
              <w:rPr>
                <w:rFonts w:ascii="Times New Roman" w:hAnsi="Times New Roman" w:cs="Times New Roman"/>
                <w:b/>
                <w:bCs/>
              </w:rPr>
            </w:pPr>
            <w:r w:rsidRPr="00B15F8A">
              <w:rPr>
                <w:rFonts w:ascii="Times New Roman" w:hAnsi="Times New Roman" w:cs="Times New Roman"/>
                <w:b/>
              </w:rPr>
              <w:t xml:space="preserve">Date de début souhaitée </w:t>
            </w:r>
          </w:p>
        </w:tc>
        <w:tc>
          <w:tcPr>
            <w:tcW w:w="7020" w:type="dxa"/>
            <w:vAlign w:val="center"/>
          </w:tcPr>
          <w:p w14:paraId="28CB65E6" w14:textId="5101E2BE" w:rsidR="002240E7" w:rsidRPr="00B15F8A" w:rsidRDefault="002240E7" w:rsidP="00B15F8A">
            <w:pPr>
              <w:jc w:val="both"/>
              <w:rPr>
                <w:rFonts w:ascii="Times New Roman" w:hAnsi="Times New Roman" w:cs="Times New Roman"/>
              </w:rPr>
            </w:pPr>
            <w:r w:rsidRPr="00B15F8A">
              <w:rPr>
                <w:rFonts w:ascii="Times New Roman" w:hAnsi="Times New Roman" w:cs="Times New Roman"/>
              </w:rPr>
              <w:t xml:space="preserve">15 </w:t>
            </w:r>
            <w:r w:rsidR="002E4E10">
              <w:rPr>
                <w:rFonts w:ascii="Times New Roman" w:hAnsi="Times New Roman" w:cs="Times New Roman"/>
              </w:rPr>
              <w:t>septembre</w:t>
            </w:r>
            <w:r w:rsidRPr="00B15F8A">
              <w:rPr>
                <w:rFonts w:ascii="Times New Roman" w:hAnsi="Times New Roman" w:cs="Times New Roman"/>
              </w:rPr>
              <w:t xml:space="preserve"> 2026</w:t>
            </w:r>
          </w:p>
        </w:tc>
      </w:tr>
      <w:tr w:rsidR="00C04E80" w:rsidRPr="00B15F8A" w14:paraId="2B159400" w14:textId="77777777" w:rsidTr="00C969C4">
        <w:trPr>
          <w:trHeight w:val="218"/>
        </w:trPr>
        <w:tc>
          <w:tcPr>
            <w:tcW w:w="3420" w:type="dxa"/>
            <w:shd w:val="clear" w:color="auto" w:fill="E6E6E6"/>
            <w:vAlign w:val="center"/>
          </w:tcPr>
          <w:p w14:paraId="0C0EBFF4" w14:textId="77777777" w:rsidR="00C04E80" w:rsidRPr="00B15F8A" w:rsidRDefault="00C04E80" w:rsidP="00B15F8A">
            <w:pPr>
              <w:spacing w:before="60"/>
              <w:jc w:val="both"/>
              <w:outlineLvl w:val="0"/>
              <w:rPr>
                <w:rFonts w:ascii="Times New Roman" w:hAnsi="Times New Roman" w:cs="Times New Roman"/>
                <w:b/>
                <w:bCs/>
              </w:rPr>
            </w:pPr>
            <w:r w:rsidRPr="00B15F8A">
              <w:rPr>
                <w:rFonts w:ascii="Times New Roman" w:hAnsi="Times New Roman" w:cs="Times New Roman"/>
                <w:b/>
                <w:bCs/>
              </w:rPr>
              <w:t xml:space="preserve">Durée de mise en œuvre </w:t>
            </w:r>
          </w:p>
        </w:tc>
        <w:tc>
          <w:tcPr>
            <w:tcW w:w="7020" w:type="dxa"/>
            <w:vAlign w:val="center"/>
          </w:tcPr>
          <w:p w14:paraId="2CE6BE0C" w14:textId="77777777" w:rsidR="00C04E80" w:rsidRPr="00B15F8A" w:rsidRDefault="00D80519" w:rsidP="00B15F8A">
            <w:pPr>
              <w:jc w:val="both"/>
              <w:rPr>
                <w:rFonts w:ascii="Times New Roman" w:hAnsi="Times New Roman" w:cs="Times New Roman"/>
              </w:rPr>
            </w:pPr>
            <w:r w:rsidRPr="00B15F8A">
              <w:rPr>
                <w:rFonts w:ascii="Times New Roman" w:hAnsi="Times New Roman" w:cs="Times New Roman"/>
              </w:rPr>
              <w:t>06 mois</w:t>
            </w:r>
          </w:p>
        </w:tc>
      </w:tr>
      <w:tr w:rsidR="006C034F" w:rsidRPr="00B15F8A" w14:paraId="44E13F41" w14:textId="77777777" w:rsidTr="00C969C4">
        <w:trPr>
          <w:trHeight w:val="218"/>
        </w:trPr>
        <w:tc>
          <w:tcPr>
            <w:tcW w:w="3420" w:type="dxa"/>
            <w:shd w:val="clear" w:color="auto" w:fill="E6E6E6"/>
            <w:vAlign w:val="center"/>
          </w:tcPr>
          <w:p w14:paraId="75DB7BF8" w14:textId="77777777" w:rsidR="006C034F" w:rsidRPr="00B15F8A" w:rsidRDefault="006C034F" w:rsidP="00B15F8A">
            <w:pPr>
              <w:spacing w:before="60"/>
              <w:jc w:val="both"/>
              <w:outlineLvl w:val="0"/>
              <w:rPr>
                <w:rFonts w:ascii="Times New Roman" w:hAnsi="Times New Roman" w:cs="Times New Roman"/>
                <w:b/>
                <w:bCs/>
              </w:rPr>
            </w:pPr>
            <w:r w:rsidRPr="00B15F8A">
              <w:rPr>
                <w:rFonts w:ascii="Times New Roman" w:hAnsi="Times New Roman" w:cs="Times New Roman"/>
                <w:b/>
                <w:bCs/>
              </w:rPr>
              <w:t>Durée totale des jours prévus</w:t>
            </w:r>
          </w:p>
        </w:tc>
        <w:tc>
          <w:tcPr>
            <w:tcW w:w="7020" w:type="dxa"/>
            <w:vAlign w:val="center"/>
          </w:tcPr>
          <w:p w14:paraId="002FCD3D" w14:textId="77777777" w:rsidR="006C034F" w:rsidRPr="00B15F8A" w:rsidRDefault="006C034F" w:rsidP="00B15F8A">
            <w:pPr>
              <w:jc w:val="both"/>
              <w:rPr>
                <w:rFonts w:ascii="Times New Roman" w:hAnsi="Times New Roman" w:cs="Times New Roman"/>
              </w:rPr>
            </w:pPr>
            <w:r w:rsidRPr="00B15F8A">
              <w:rPr>
                <w:rFonts w:ascii="Times New Roman" w:hAnsi="Times New Roman" w:cs="Times New Roman"/>
              </w:rPr>
              <w:t>140 H/J</w:t>
            </w:r>
          </w:p>
        </w:tc>
      </w:tr>
      <w:tr w:rsidR="00C04E80" w:rsidRPr="00B15F8A" w14:paraId="54EB5EE9" w14:textId="77777777" w:rsidTr="00C969C4">
        <w:trPr>
          <w:trHeight w:val="218"/>
        </w:trPr>
        <w:tc>
          <w:tcPr>
            <w:tcW w:w="3420" w:type="dxa"/>
            <w:shd w:val="clear" w:color="auto" w:fill="E6E6E6"/>
            <w:vAlign w:val="center"/>
          </w:tcPr>
          <w:p w14:paraId="10446CE5" w14:textId="77777777" w:rsidR="00C04E80" w:rsidRPr="00B15F8A" w:rsidRDefault="00C04E80" w:rsidP="00B15F8A">
            <w:pPr>
              <w:spacing w:before="60"/>
              <w:jc w:val="both"/>
              <w:outlineLvl w:val="0"/>
              <w:rPr>
                <w:rFonts w:ascii="Times New Roman" w:hAnsi="Times New Roman" w:cs="Times New Roman"/>
                <w:b/>
                <w:bCs/>
              </w:rPr>
            </w:pPr>
            <w:r w:rsidRPr="00B15F8A">
              <w:rPr>
                <w:rFonts w:ascii="Times New Roman" w:hAnsi="Times New Roman" w:cs="Times New Roman"/>
                <w:b/>
                <w:bCs/>
              </w:rPr>
              <w:t>Montant estimatif du marché</w:t>
            </w:r>
          </w:p>
        </w:tc>
        <w:tc>
          <w:tcPr>
            <w:tcW w:w="7020" w:type="dxa"/>
            <w:vAlign w:val="center"/>
          </w:tcPr>
          <w:p w14:paraId="2C124B9C" w14:textId="77777777" w:rsidR="00C04E80" w:rsidRPr="00B15F8A" w:rsidRDefault="00B07589" w:rsidP="00B15F8A">
            <w:pPr>
              <w:jc w:val="both"/>
              <w:rPr>
                <w:rFonts w:ascii="Times New Roman" w:hAnsi="Times New Roman" w:cs="Times New Roman"/>
              </w:rPr>
            </w:pPr>
            <w:r w:rsidRPr="00B15F8A">
              <w:rPr>
                <w:rFonts w:ascii="Times New Roman" w:hAnsi="Times New Roman" w:cs="Times New Roman"/>
                <w:lang w:val="en-US"/>
              </w:rPr>
              <w:t>70</w:t>
            </w:r>
            <w:r w:rsidRPr="00B15F8A">
              <w:rPr>
                <w:rFonts w:ascii="Times New Roman" w:hAnsi="Times New Roman" w:cs="Times New Roman"/>
              </w:rPr>
              <w:t xml:space="preserve">,000.00 Euros </w:t>
            </w:r>
          </w:p>
        </w:tc>
      </w:tr>
    </w:tbl>
    <w:p w14:paraId="64A4F62C" w14:textId="77777777" w:rsidR="00C04E80" w:rsidRPr="00B15F8A" w:rsidRDefault="00C04E80" w:rsidP="00B15F8A">
      <w:pPr>
        <w:jc w:val="both"/>
        <w:rPr>
          <w:rFonts w:ascii="Times New Roman" w:hAnsi="Times New Roman" w:cs="Times New Roman"/>
          <w:b/>
          <w:bCs/>
          <w:sz w:val="27"/>
          <w:szCs w:val="27"/>
        </w:rPr>
      </w:pPr>
    </w:p>
    <w:p w14:paraId="2784D48C" w14:textId="77777777" w:rsidR="001C4CD3" w:rsidRPr="00B15F8A" w:rsidRDefault="00BD5871" w:rsidP="00B15F8A">
      <w:pPr>
        <w:spacing w:after="0"/>
        <w:jc w:val="both"/>
        <w:rPr>
          <w:rFonts w:ascii="Times New Roman" w:hAnsi="Times New Roman" w:cs="Times New Roman"/>
          <w:b/>
          <w:bCs/>
        </w:rPr>
      </w:pPr>
      <w:r w:rsidRPr="00B15F8A">
        <w:rPr>
          <w:rFonts w:ascii="Times New Roman" w:hAnsi="Times New Roman" w:cs="Times New Roman"/>
          <w:b/>
          <w:bCs/>
        </w:rPr>
        <w:t xml:space="preserve">CONTEXTE DU PROJET </w:t>
      </w:r>
    </w:p>
    <w:p w14:paraId="2DDABB2E" w14:textId="77777777" w:rsidR="001C4CD3" w:rsidRPr="00B15F8A" w:rsidRDefault="001C4CD3" w:rsidP="00B15F8A">
      <w:pPr>
        <w:spacing w:after="0" w:line="276" w:lineRule="auto"/>
        <w:jc w:val="both"/>
        <w:rPr>
          <w:rFonts w:ascii="Times New Roman" w:eastAsia="Times New Roman" w:hAnsi="Times New Roman" w:cs="Times New Roman"/>
          <w:kern w:val="0"/>
          <w14:ligatures w14:val="none"/>
        </w:rPr>
      </w:pPr>
      <w:bookmarkStart w:id="3" w:name="_Hlk236301869"/>
      <w:r w:rsidRPr="00B15F8A">
        <w:rPr>
          <w:rFonts w:ascii="Times New Roman" w:eastAsia="Times New Roman" w:hAnsi="Times New Roman" w:cs="Times New Roman"/>
          <w:kern w:val="0"/>
          <w14:ligatures w14:val="none"/>
        </w:rPr>
        <w:t xml:space="preserve">Le </w:t>
      </w:r>
      <w:r w:rsidRPr="00B15F8A">
        <w:rPr>
          <w:rFonts w:ascii="Times New Roman" w:eastAsia="Times New Roman" w:hAnsi="Times New Roman" w:cs="Times New Roman"/>
          <w:i/>
          <w:iCs/>
          <w:kern w:val="0"/>
          <w14:ligatures w14:val="none"/>
        </w:rPr>
        <w:t xml:space="preserve">State Building </w:t>
      </w:r>
      <w:proofErr w:type="spellStart"/>
      <w:r w:rsidRPr="00B15F8A">
        <w:rPr>
          <w:rFonts w:ascii="Times New Roman" w:eastAsia="Times New Roman" w:hAnsi="Times New Roman" w:cs="Times New Roman"/>
          <w:i/>
          <w:iCs/>
          <w:kern w:val="0"/>
          <w14:ligatures w14:val="none"/>
        </w:rPr>
        <w:t>Contract</w:t>
      </w:r>
      <w:proofErr w:type="spellEnd"/>
      <w:r w:rsidRPr="00B15F8A">
        <w:rPr>
          <w:rFonts w:ascii="Times New Roman" w:eastAsia="Times New Roman" w:hAnsi="Times New Roman" w:cs="Times New Roman"/>
          <w:i/>
          <w:iCs/>
          <w:kern w:val="0"/>
          <w14:ligatures w14:val="none"/>
        </w:rPr>
        <w:t xml:space="preserve"> II (SBC II)</w:t>
      </w:r>
      <w:r w:rsidRPr="00B15F8A">
        <w:rPr>
          <w:rFonts w:ascii="Times New Roman" w:eastAsia="Times New Roman" w:hAnsi="Times New Roman" w:cs="Times New Roman"/>
          <w:kern w:val="0"/>
          <w14:ligatures w14:val="none"/>
        </w:rPr>
        <w:t>, financé par l’Union européenne et mis en œuvre par Expertise France, vise à renforcer la résilience de l’État haïtien et à créer un environnement favorable à une croissance économique durable, inclusive et soutenue. Lancé en 2018, il s’inscrit dans un contexte marqué par une instabilité sociopolitique persistante et une insécurité généralisée, mais a su démontrer une capacité d’adaptation et produire des résultats tangibles, reconnus par les autorités haïtiennes et les partenaires techniques et financiers.</w:t>
      </w:r>
    </w:p>
    <w:p w14:paraId="3B4B8FA7" w14:textId="77777777" w:rsidR="001C4CD3" w:rsidRPr="00B15F8A" w:rsidRDefault="001C4CD3" w:rsidP="00B15F8A">
      <w:pPr>
        <w:spacing w:after="0" w:line="276" w:lineRule="auto"/>
        <w:jc w:val="both"/>
        <w:rPr>
          <w:rFonts w:ascii="Times New Roman" w:eastAsia="Times New Roman" w:hAnsi="Times New Roman" w:cs="Times New Roman"/>
          <w:kern w:val="0"/>
          <w14:ligatures w14:val="none"/>
        </w:rPr>
      </w:pPr>
      <w:r w:rsidRPr="00B15F8A">
        <w:rPr>
          <w:rFonts w:ascii="Times New Roman" w:eastAsia="Times New Roman" w:hAnsi="Times New Roman" w:cs="Times New Roman"/>
          <w:kern w:val="0"/>
          <w14:ligatures w14:val="none"/>
        </w:rPr>
        <w:t>En juin 2024, au vu de ses résultats, une enveloppe a été accordée, élargissant le champ d’intervention du projet. Cette extension vise à consolider les acquis, intégrer de nouvelles activités et répondre aux besoins émergents identifiés par l’État haïtien. Elle traduit la confiance renouvelée de l’UE dans l’efficacité du dispositif et de sa volonté de renforcer son impact institutionnel et économique.</w:t>
      </w:r>
    </w:p>
    <w:p w14:paraId="5CD2DF7E" w14:textId="77777777" w:rsidR="001C4CD3" w:rsidRPr="00B15F8A" w:rsidRDefault="001C4CD3" w:rsidP="00B15F8A">
      <w:pPr>
        <w:spacing w:after="0" w:line="276" w:lineRule="auto"/>
        <w:jc w:val="both"/>
        <w:rPr>
          <w:rFonts w:ascii="Times New Roman" w:eastAsia="Times New Roman" w:hAnsi="Times New Roman" w:cs="Times New Roman"/>
          <w:kern w:val="0"/>
          <w14:ligatures w14:val="none"/>
        </w:rPr>
      </w:pPr>
      <w:r w:rsidRPr="00B15F8A">
        <w:rPr>
          <w:rFonts w:ascii="Times New Roman" w:eastAsia="Times New Roman" w:hAnsi="Times New Roman" w:cs="Times New Roman"/>
          <w:kern w:val="0"/>
          <w14:ligatures w14:val="none"/>
        </w:rPr>
        <w:lastRenderedPageBreak/>
        <w:t>Le projet met désormais un accent particulier sur la coordination entre les niveaux central et local de l’administration publique, avec un focus sur deux secteurs clés : le fiscal et le douanier. Ces domaines sont essentiels à la mobilisation des ressources internes et à la sécurisation des recettes publiques. À travers ses appuis techniques, le SBC II soutient la stratégie nationale de mobilisation des recettes, tout en accompagnant le renforcement des capacités institutionnelles pour une croissance inclusive et durable.</w:t>
      </w:r>
    </w:p>
    <w:p w14:paraId="20D4DF35" w14:textId="77777777" w:rsidR="001C4CD3" w:rsidRPr="00B15F8A" w:rsidRDefault="001C4CD3" w:rsidP="00B15F8A">
      <w:pPr>
        <w:spacing w:after="0" w:line="276" w:lineRule="auto"/>
        <w:jc w:val="both"/>
        <w:rPr>
          <w:rFonts w:ascii="Times New Roman" w:eastAsia="Times New Roman" w:hAnsi="Times New Roman" w:cs="Times New Roman"/>
          <w:kern w:val="0"/>
          <w14:ligatures w14:val="none"/>
        </w:rPr>
      </w:pPr>
      <w:r w:rsidRPr="00B15F8A">
        <w:rPr>
          <w:rFonts w:ascii="Times New Roman" w:eastAsia="Times New Roman" w:hAnsi="Times New Roman" w:cs="Times New Roman"/>
          <w:kern w:val="0"/>
          <w14:ligatures w14:val="none"/>
        </w:rPr>
        <w:t>Au-delà du volet financier, le SBC II agit comme un catalyseur de modernisation de l’administration publique. Il promeut la transparence, les bonnes pratiques de gouvernance et une meilleure articulation entre les institutions. Ces avancées renforcent l’efficacité de l’action publique et contribuent à restaurer la confiance entre l’État et ses partenaires.</w:t>
      </w:r>
    </w:p>
    <w:p w14:paraId="2183C674" w14:textId="77777777" w:rsidR="001C4CD3" w:rsidRPr="00B15F8A" w:rsidRDefault="001C4CD3" w:rsidP="00B15F8A">
      <w:pPr>
        <w:spacing w:after="0" w:line="276" w:lineRule="auto"/>
        <w:jc w:val="both"/>
        <w:rPr>
          <w:rFonts w:ascii="Times New Roman" w:hAnsi="Times New Roman" w:cs="Times New Roman"/>
        </w:rPr>
      </w:pPr>
      <w:r w:rsidRPr="00B15F8A">
        <w:rPr>
          <w:rFonts w:ascii="Times New Roman" w:hAnsi="Times New Roman" w:cs="Times New Roman"/>
        </w:rPr>
        <w:t xml:space="preserve">En définitive, le SBC II constitue une étape clé dans la modernisation de l’État haïtien. En consolidant les institutions, en améliorant la mobilisation des ressources domestiques et en favorisant une gestion plus efficace des finances publiques, il contribue à la construction d’un contrat social renouvelé, fondé sur la responsabilité, la confiance et la recherche d’un avenir commun plus stable et prospère. </w:t>
      </w:r>
    </w:p>
    <w:bookmarkEnd w:id="3"/>
    <w:p w14:paraId="57610D95" w14:textId="77777777" w:rsidR="001C4CD3" w:rsidRPr="00B15F8A" w:rsidRDefault="001C4CD3" w:rsidP="00B15F8A">
      <w:pPr>
        <w:spacing w:after="0"/>
        <w:jc w:val="both"/>
        <w:rPr>
          <w:rFonts w:ascii="Times New Roman" w:hAnsi="Times New Roman" w:cs="Times New Roman"/>
          <w:b/>
          <w:bCs/>
        </w:rPr>
      </w:pPr>
    </w:p>
    <w:p w14:paraId="4152E4DF" w14:textId="77777777" w:rsidR="005E0E48" w:rsidRPr="00B15F8A" w:rsidRDefault="001C4CD3" w:rsidP="00B15F8A">
      <w:pPr>
        <w:spacing w:after="0"/>
        <w:jc w:val="both"/>
        <w:rPr>
          <w:rFonts w:ascii="Times New Roman" w:hAnsi="Times New Roman" w:cs="Times New Roman"/>
          <w:b/>
          <w:bCs/>
        </w:rPr>
      </w:pPr>
      <w:r w:rsidRPr="00B15F8A">
        <w:rPr>
          <w:rFonts w:ascii="Times New Roman" w:hAnsi="Times New Roman" w:cs="Times New Roman"/>
          <w:b/>
          <w:bCs/>
        </w:rPr>
        <w:t xml:space="preserve">BENEFICIARE </w:t>
      </w:r>
    </w:p>
    <w:p w14:paraId="24230D64" w14:textId="77777777" w:rsidR="005E0E48" w:rsidRPr="00B15F8A" w:rsidRDefault="005E0E48" w:rsidP="00B15F8A">
      <w:pPr>
        <w:spacing w:after="0" w:line="240" w:lineRule="auto"/>
        <w:jc w:val="both"/>
        <w:rPr>
          <w:rFonts w:ascii="Times New Roman" w:hAnsi="Times New Roman" w:cs="Times New Roman"/>
        </w:rPr>
      </w:pPr>
      <w:r w:rsidRPr="00B15F8A">
        <w:rPr>
          <w:rFonts w:ascii="Times New Roman" w:hAnsi="Times New Roman" w:cs="Times New Roman"/>
        </w:rPr>
        <w:t>La Banque de la République d’Haïti (BRH) gère des infrastructures critiques dans le cadre de ses missions qui consistent à assurer l’efficacité, le développement et l’intégrité du système de paiement, la stabilité du système financier et d’agir comme banquier, caissier et agent fiscal de l’État. En effet, au niveau de sa structure de gouvernance interne, la Direction d’Audit Interne à travers le Service d’audit informatique a pour rôle d’identifier les vulnérabilités liées aux systèmes d’information de la banque, d’évaluer les risques de cyberattaques et vérifier la résilience des systèmes face aux menaces. Consciente de l’importance de l’efficacité et de l’efficience de cette structure dans un contexte marqué par l’augmentation des menaces liées à la cybersécurité, Expertise France, dans le cadre du projet SBC II, lance un appel d’offres en vue de recruter un bureau d’études pour procéder à une restructuration du Service d’audit informatique de la BRH.</w:t>
      </w:r>
    </w:p>
    <w:p w14:paraId="6FC568A7" w14:textId="77777777" w:rsidR="00BD5871" w:rsidRPr="00B15F8A" w:rsidRDefault="00BD5871" w:rsidP="00B15F8A">
      <w:pPr>
        <w:spacing w:after="0"/>
        <w:jc w:val="both"/>
        <w:rPr>
          <w:rFonts w:ascii="Times New Roman" w:hAnsi="Times New Roman" w:cs="Times New Roman"/>
          <w:b/>
          <w:bCs/>
        </w:rPr>
      </w:pPr>
    </w:p>
    <w:p w14:paraId="034CB8C5" w14:textId="77777777" w:rsidR="005E0E48" w:rsidRPr="00B15F8A" w:rsidRDefault="005E0E48" w:rsidP="00B15F8A">
      <w:pPr>
        <w:spacing w:after="0"/>
        <w:jc w:val="both"/>
        <w:rPr>
          <w:rFonts w:ascii="Times New Roman" w:hAnsi="Times New Roman" w:cs="Times New Roman"/>
          <w:b/>
          <w:bCs/>
        </w:rPr>
      </w:pPr>
      <w:r w:rsidRPr="00B15F8A">
        <w:rPr>
          <w:rFonts w:ascii="Times New Roman" w:hAnsi="Times New Roman" w:cs="Times New Roman"/>
          <w:b/>
          <w:bCs/>
        </w:rPr>
        <w:t>OBJECTIF DU MANDAT</w:t>
      </w:r>
    </w:p>
    <w:p w14:paraId="315918D6" w14:textId="77777777" w:rsidR="00681CEB" w:rsidRPr="00B15F8A" w:rsidRDefault="00681CEB" w:rsidP="00B15F8A">
      <w:pPr>
        <w:spacing w:after="0" w:line="240" w:lineRule="auto"/>
        <w:jc w:val="both"/>
        <w:rPr>
          <w:rFonts w:ascii="Times New Roman" w:hAnsi="Times New Roman" w:cs="Times New Roman"/>
        </w:rPr>
      </w:pPr>
      <w:r w:rsidRPr="00B15F8A">
        <w:rPr>
          <w:rFonts w:ascii="Times New Roman" w:hAnsi="Times New Roman" w:cs="Times New Roman"/>
        </w:rPr>
        <w:t>L'objectif de ce mandat est de renforcer durablement la fonction d’audit informatique de la BRH conformément aux standards internationaux et aux bonnes pratiques des banques centrales.</w:t>
      </w:r>
    </w:p>
    <w:p w14:paraId="421A9738" w14:textId="77777777" w:rsidR="00681CEB" w:rsidRPr="00B15F8A" w:rsidRDefault="00681CEB" w:rsidP="00B15F8A">
      <w:pPr>
        <w:pStyle w:val="NormalWeb"/>
        <w:jc w:val="both"/>
        <w:rPr>
          <w:lang w:val="fr-FR"/>
        </w:rPr>
      </w:pPr>
      <w:r w:rsidRPr="00B15F8A">
        <w:rPr>
          <w:lang w:val="fr-FR"/>
        </w:rPr>
        <w:t>Il comprend :</w:t>
      </w:r>
    </w:p>
    <w:p w14:paraId="11282925" w14:textId="42849F23" w:rsidR="005E0E48" w:rsidRPr="00B15F8A" w:rsidRDefault="005E0E48" w:rsidP="00B15F8A">
      <w:pPr>
        <w:pStyle w:val="Paragraphedeliste"/>
        <w:numPr>
          <w:ilvl w:val="0"/>
          <w:numId w:val="1"/>
        </w:numPr>
        <w:spacing w:line="240" w:lineRule="auto"/>
        <w:jc w:val="both"/>
        <w:rPr>
          <w:rFonts w:ascii="Times New Roman" w:hAnsi="Times New Roman" w:cs="Times New Roman"/>
        </w:rPr>
      </w:pPr>
      <w:r w:rsidRPr="00B15F8A">
        <w:rPr>
          <w:rFonts w:ascii="Times New Roman" w:hAnsi="Times New Roman" w:cs="Times New Roman"/>
        </w:rPr>
        <w:t xml:space="preserve">Procéder à une réévaluation complète de l’organisation du Service d’Audit des Systèmes d’Information (SASI) de la Direction d’Audit Interne (DAINT) afin de le renforcer et le doter d’un niveau standard, accompagné d’un manuel de procédures pour la réalisation des missions d’audit ; </w:t>
      </w:r>
    </w:p>
    <w:p w14:paraId="4CBF3633" w14:textId="1BCDD582" w:rsidR="00BD5871" w:rsidRPr="00B15F8A" w:rsidRDefault="005E0E48" w:rsidP="00B15F8A">
      <w:pPr>
        <w:pStyle w:val="Paragraphedeliste"/>
        <w:numPr>
          <w:ilvl w:val="0"/>
          <w:numId w:val="1"/>
        </w:numPr>
        <w:spacing w:line="240" w:lineRule="auto"/>
        <w:jc w:val="both"/>
        <w:rPr>
          <w:rFonts w:ascii="Times New Roman" w:hAnsi="Times New Roman" w:cs="Times New Roman"/>
        </w:rPr>
      </w:pPr>
      <w:r w:rsidRPr="00B15F8A">
        <w:rPr>
          <w:rFonts w:ascii="Times New Roman" w:hAnsi="Times New Roman" w:cs="Times New Roman"/>
        </w:rPr>
        <w:t>Élaborer une cartographie des risques informatiques de la BRH, accompagnée d’un plan d’audit triennal basé sur les risques identifiés ;</w:t>
      </w:r>
    </w:p>
    <w:p w14:paraId="5E8F207C" w14:textId="74D9E36B" w:rsidR="005E0E48" w:rsidRPr="00B15F8A" w:rsidRDefault="005E0E48" w:rsidP="00B15F8A">
      <w:pPr>
        <w:pStyle w:val="Paragraphedeliste"/>
        <w:numPr>
          <w:ilvl w:val="0"/>
          <w:numId w:val="1"/>
        </w:numPr>
        <w:spacing w:line="240" w:lineRule="auto"/>
        <w:jc w:val="both"/>
        <w:rPr>
          <w:rFonts w:ascii="Times New Roman" w:hAnsi="Times New Roman" w:cs="Times New Roman"/>
        </w:rPr>
      </w:pPr>
      <w:r w:rsidRPr="00B15F8A">
        <w:rPr>
          <w:rFonts w:ascii="Times New Roman" w:hAnsi="Times New Roman" w:cs="Times New Roman"/>
        </w:rPr>
        <w:t xml:space="preserve">Mettre en place un programme structuré de </w:t>
      </w:r>
      <w:r w:rsidR="00DB61DE" w:rsidRPr="00B15F8A">
        <w:rPr>
          <w:rFonts w:ascii="Times New Roman" w:hAnsi="Times New Roman" w:cs="Times New Roman"/>
        </w:rPr>
        <w:t>formation, et</w:t>
      </w:r>
      <w:r w:rsidRPr="00B15F8A">
        <w:rPr>
          <w:rFonts w:ascii="Times New Roman" w:hAnsi="Times New Roman" w:cs="Times New Roman"/>
        </w:rPr>
        <w:t xml:space="preserve"> de coaching pour renforcer les capacités des cadres du SASI, notamment dans les domaines de la cybersécurité, de </w:t>
      </w:r>
      <w:r w:rsidRPr="00B15F8A">
        <w:rPr>
          <w:rFonts w:ascii="Times New Roman" w:hAnsi="Times New Roman" w:cs="Times New Roman"/>
        </w:rPr>
        <w:lastRenderedPageBreak/>
        <w:t>l’intelligence artificielle et de l’audit assisté par la technologie, assurant un transfert effectif de compétences ;</w:t>
      </w:r>
    </w:p>
    <w:p w14:paraId="33DE2CB5" w14:textId="77777777" w:rsidR="00681CEB" w:rsidRPr="00B15F8A" w:rsidRDefault="00681CEB" w:rsidP="00B15F8A">
      <w:pPr>
        <w:pStyle w:val="NormalWeb"/>
        <w:numPr>
          <w:ilvl w:val="0"/>
          <w:numId w:val="1"/>
        </w:numPr>
        <w:jc w:val="both"/>
        <w:rPr>
          <w:lang w:val="fr-FR"/>
        </w:rPr>
      </w:pPr>
      <w:r w:rsidRPr="00B15F8A">
        <w:rPr>
          <w:lang w:val="fr-FR"/>
        </w:rPr>
        <w:t>Évaluer le niveau de maturité de la fonction d’audit selon les référentiels internationaux COBIT, IIA et NIST, afin d’identifier les écarts et proposer une trajectoire d’amélioration progressive ;</w:t>
      </w:r>
    </w:p>
    <w:p w14:paraId="6D65F8AA" w14:textId="77777777" w:rsidR="00681CEB" w:rsidRPr="00B15F8A" w:rsidRDefault="00681CEB" w:rsidP="00B15F8A">
      <w:pPr>
        <w:pStyle w:val="NormalWeb"/>
        <w:numPr>
          <w:ilvl w:val="0"/>
          <w:numId w:val="1"/>
        </w:numPr>
        <w:jc w:val="both"/>
        <w:rPr>
          <w:lang w:val="fr-FR"/>
        </w:rPr>
      </w:pPr>
      <w:r w:rsidRPr="00B15F8A">
        <w:rPr>
          <w:lang w:val="fr-FR"/>
        </w:rPr>
        <w:t>Définir un modèle opérationnel cible (Target Operating Model) précisant la structure, les rôles et responsabilités, les processus, les outils et le reporting ;</w:t>
      </w:r>
    </w:p>
    <w:p w14:paraId="7C017496" w14:textId="77777777" w:rsidR="00681CEB" w:rsidRPr="00AE3A2C" w:rsidRDefault="00681CEB" w:rsidP="00B15F8A">
      <w:pPr>
        <w:pStyle w:val="NormalWeb"/>
        <w:numPr>
          <w:ilvl w:val="0"/>
          <w:numId w:val="1"/>
        </w:numPr>
        <w:jc w:val="both"/>
        <w:rPr>
          <w:lang w:val="fr-FR"/>
        </w:rPr>
      </w:pPr>
      <w:r w:rsidRPr="00B15F8A">
        <w:rPr>
          <w:lang w:val="fr-FR"/>
        </w:rPr>
        <w:t>Élaborer une feuille de route opérationnelle détaillant la mise en œuvre progressive des recommandations.</w:t>
      </w:r>
    </w:p>
    <w:p w14:paraId="5EE28ECF" w14:textId="77777777" w:rsidR="005E0E48" w:rsidRPr="00B15F8A" w:rsidRDefault="005E0E48" w:rsidP="00B15F8A">
      <w:pPr>
        <w:pStyle w:val="Paragraphedeliste"/>
        <w:spacing w:after="0"/>
        <w:ind w:left="0"/>
        <w:jc w:val="both"/>
        <w:rPr>
          <w:rFonts w:ascii="Times New Roman" w:hAnsi="Times New Roman" w:cs="Times New Roman"/>
        </w:rPr>
      </w:pPr>
    </w:p>
    <w:p w14:paraId="348D7FD4" w14:textId="77777777" w:rsidR="005E0E48" w:rsidRPr="00B15F8A" w:rsidRDefault="005E0E48" w:rsidP="00B15F8A">
      <w:pPr>
        <w:spacing w:after="0"/>
        <w:jc w:val="both"/>
        <w:rPr>
          <w:rFonts w:ascii="Times New Roman" w:hAnsi="Times New Roman" w:cs="Times New Roman"/>
          <w:b/>
          <w:bCs/>
        </w:rPr>
      </w:pPr>
      <w:r w:rsidRPr="00B15F8A">
        <w:rPr>
          <w:rFonts w:ascii="Times New Roman" w:hAnsi="Times New Roman" w:cs="Times New Roman"/>
          <w:b/>
          <w:bCs/>
        </w:rPr>
        <w:t>PORTÉE DU MANDAT</w:t>
      </w:r>
    </w:p>
    <w:p w14:paraId="336DBFAF" w14:textId="77777777" w:rsidR="005E0E48" w:rsidRPr="00B15F8A" w:rsidRDefault="005E0E48" w:rsidP="00B15F8A">
      <w:pPr>
        <w:spacing w:after="0" w:line="240" w:lineRule="auto"/>
        <w:jc w:val="both"/>
        <w:rPr>
          <w:rFonts w:ascii="Times New Roman" w:hAnsi="Times New Roman" w:cs="Times New Roman"/>
        </w:rPr>
      </w:pPr>
      <w:r w:rsidRPr="00B15F8A">
        <w:rPr>
          <w:rFonts w:ascii="Times New Roman" w:hAnsi="Times New Roman" w:cs="Times New Roman"/>
        </w:rPr>
        <w:t>Le bureau d’études devra faire un examen suffisamment approfondi de l’environnement informatique de la banque afin d’identifier les vulnérabilités, d’évaluer les risques et de proposer les mesures correctives nécessaires.</w:t>
      </w:r>
    </w:p>
    <w:p w14:paraId="145F63FC" w14:textId="77777777" w:rsidR="00F84921" w:rsidRPr="00B15F8A" w:rsidRDefault="00F84921" w:rsidP="00B15F8A">
      <w:pPr>
        <w:pStyle w:val="NormalWeb"/>
        <w:jc w:val="both"/>
      </w:pPr>
      <w:proofErr w:type="spellStart"/>
      <w:r w:rsidRPr="00B15F8A">
        <w:t>L’analyse</w:t>
      </w:r>
      <w:proofErr w:type="spellEnd"/>
      <w:r w:rsidRPr="00B15F8A">
        <w:t xml:space="preserve"> </w:t>
      </w:r>
      <w:proofErr w:type="spellStart"/>
      <w:proofErr w:type="gramStart"/>
      <w:r w:rsidRPr="00B15F8A">
        <w:t>comprendra</w:t>
      </w:r>
      <w:proofErr w:type="spellEnd"/>
      <w:r w:rsidRPr="00B15F8A">
        <w:t> :</w:t>
      </w:r>
      <w:proofErr w:type="gramEnd"/>
    </w:p>
    <w:p w14:paraId="2A8B71FF" w14:textId="77777777" w:rsidR="00F84921" w:rsidRPr="00B15F8A" w:rsidRDefault="00F84921" w:rsidP="00B15F8A">
      <w:pPr>
        <w:pStyle w:val="NormalWeb"/>
        <w:numPr>
          <w:ilvl w:val="0"/>
          <w:numId w:val="15"/>
        </w:numPr>
        <w:jc w:val="both"/>
        <w:rPr>
          <w:lang w:val="fr-FR"/>
        </w:rPr>
      </w:pPr>
      <w:r w:rsidRPr="00B15F8A">
        <w:rPr>
          <w:lang w:val="fr-FR"/>
        </w:rPr>
        <w:t>L’évaluation de la gouvernance et de l’organisation de la fonction d’audit informatique ;</w:t>
      </w:r>
    </w:p>
    <w:p w14:paraId="42A106FF" w14:textId="77777777" w:rsidR="00F84921" w:rsidRPr="00B15F8A" w:rsidRDefault="00F84921" w:rsidP="00B15F8A">
      <w:pPr>
        <w:pStyle w:val="NormalWeb"/>
        <w:numPr>
          <w:ilvl w:val="0"/>
          <w:numId w:val="15"/>
        </w:numPr>
        <w:jc w:val="both"/>
        <w:rPr>
          <w:lang w:val="fr-FR"/>
        </w:rPr>
      </w:pPr>
      <w:r w:rsidRPr="00B15F8A">
        <w:rPr>
          <w:lang w:val="fr-FR"/>
        </w:rPr>
        <w:t>L’analyse des méthodologies et pratiques d’audit actuellement utilisées ;</w:t>
      </w:r>
    </w:p>
    <w:p w14:paraId="369649CA" w14:textId="77777777" w:rsidR="00F84921" w:rsidRPr="00B15F8A" w:rsidRDefault="00F84921" w:rsidP="00B15F8A">
      <w:pPr>
        <w:pStyle w:val="NormalWeb"/>
        <w:numPr>
          <w:ilvl w:val="0"/>
          <w:numId w:val="15"/>
        </w:numPr>
        <w:jc w:val="both"/>
        <w:rPr>
          <w:lang w:val="fr-FR"/>
        </w:rPr>
      </w:pPr>
      <w:r w:rsidRPr="00B15F8A">
        <w:rPr>
          <w:lang w:val="fr-FR"/>
        </w:rPr>
        <w:t>L’évaluation des contrôles généraux informatiques (ITGC), incluant la gestion des accès, des changements, des incidents, les sauvegardes, la sécurité réseau et la gestion des vulnérabilités ;</w:t>
      </w:r>
    </w:p>
    <w:p w14:paraId="3E99AC77" w14:textId="77777777" w:rsidR="00F84921" w:rsidRPr="00B15F8A" w:rsidRDefault="00F84921" w:rsidP="00B15F8A">
      <w:pPr>
        <w:pStyle w:val="NormalWeb"/>
        <w:numPr>
          <w:ilvl w:val="0"/>
          <w:numId w:val="15"/>
        </w:numPr>
        <w:jc w:val="both"/>
        <w:rPr>
          <w:lang w:val="fr-FR"/>
        </w:rPr>
      </w:pPr>
      <w:r w:rsidRPr="00B15F8A">
        <w:rPr>
          <w:lang w:val="fr-FR"/>
        </w:rPr>
        <w:t>L’analyse de la cyber résilience et des dispositifs de continuité d’activité ;</w:t>
      </w:r>
    </w:p>
    <w:p w14:paraId="287A2228" w14:textId="77777777" w:rsidR="00F84921" w:rsidRPr="00B15F8A" w:rsidRDefault="00F84921" w:rsidP="00B15F8A">
      <w:pPr>
        <w:pStyle w:val="NormalWeb"/>
        <w:numPr>
          <w:ilvl w:val="0"/>
          <w:numId w:val="15"/>
        </w:numPr>
        <w:jc w:val="both"/>
        <w:rPr>
          <w:lang w:val="fr-FR"/>
        </w:rPr>
      </w:pPr>
      <w:r w:rsidRPr="00B15F8A">
        <w:rPr>
          <w:lang w:val="fr-FR"/>
        </w:rPr>
        <w:t>L’examen de la sécurisation des systèmes financiers critiques et des infrastructures supportant les opérations de paiement ;</w:t>
      </w:r>
    </w:p>
    <w:p w14:paraId="707D1299" w14:textId="77777777" w:rsidR="00F84921" w:rsidRPr="00AE3A2C" w:rsidRDefault="00F84921" w:rsidP="00B15F8A">
      <w:pPr>
        <w:pStyle w:val="NormalWeb"/>
        <w:numPr>
          <w:ilvl w:val="0"/>
          <w:numId w:val="15"/>
        </w:numPr>
        <w:jc w:val="both"/>
        <w:rPr>
          <w:lang w:val="fr-FR"/>
        </w:rPr>
      </w:pPr>
      <w:r w:rsidRPr="00B15F8A">
        <w:rPr>
          <w:lang w:val="fr-FR"/>
        </w:rPr>
        <w:t>L’identification des risques liés aux technologies émergentes, telles que l’intelligence artificielle et l’automatisation ;</w:t>
      </w:r>
    </w:p>
    <w:p w14:paraId="093F6F05" w14:textId="77777777" w:rsidR="005E0E48" w:rsidRPr="00AE3A2C" w:rsidRDefault="00F84921" w:rsidP="00B15F8A">
      <w:pPr>
        <w:pStyle w:val="NormalWeb"/>
        <w:numPr>
          <w:ilvl w:val="0"/>
          <w:numId w:val="15"/>
        </w:numPr>
        <w:jc w:val="both"/>
        <w:rPr>
          <w:lang w:val="fr-FR"/>
        </w:rPr>
      </w:pPr>
      <w:r w:rsidRPr="00B15F8A">
        <w:rPr>
          <w:lang w:val="fr-FR"/>
        </w:rPr>
        <w:t>L’évaluation de la coordination entre le SASI, la Direction des Systèmes d’Information, les fonctions de gestion des risques et de sécurité informatique.</w:t>
      </w:r>
    </w:p>
    <w:p w14:paraId="6192DAF8" w14:textId="77777777" w:rsidR="005E0E48" w:rsidRPr="00B15F8A" w:rsidRDefault="005E0E48" w:rsidP="00B15F8A">
      <w:pPr>
        <w:spacing w:after="0" w:line="240" w:lineRule="auto"/>
        <w:jc w:val="both"/>
        <w:rPr>
          <w:rFonts w:ascii="Times New Roman" w:hAnsi="Times New Roman" w:cs="Times New Roman"/>
        </w:rPr>
      </w:pPr>
      <w:r w:rsidRPr="00B15F8A">
        <w:rPr>
          <w:rFonts w:ascii="Times New Roman" w:hAnsi="Times New Roman" w:cs="Times New Roman"/>
        </w:rPr>
        <w:t xml:space="preserve">Par ailleurs, le bureau d’études sera autorisé à visiter toutes les installations de la BRH à Port-au-Prince, au Cap-Haïtien et la ville des Cayes afin d’obtenir toutes les informations qui seront jugées pertinentes pour atteindre ses objectifs. Le bureau d’études se référera à la Direction d’Audit de la BRH qui jouera le rôle d’interlocuteur privilégié dans le cadre de cette mission. </w:t>
      </w:r>
    </w:p>
    <w:p w14:paraId="59E75939" w14:textId="77777777" w:rsidR="005E0E48" w:rsidRPr="00B15F8A" w:rsidRDefault="005E0E48" w:rsidP="00B15F8A">
      <w:pPr>
        <w:spacing w:after="0" w:line="240" w:lineRule="auto"/>
        <w:jc w:val="both"/>
        <w:rPr>
          <w:rFonts w:ascii="Times New Roman" w:hAnsi="Times New Roman" w:cs="Times New Roman"/>
          <w:b/>
          <w:bCs/>
        </w:rPr>
      </w:pPr>
    </w:p>
    <w:p w14:paraId="1B56C696" w14:textId="77777777" w:rsidR="005E0E48" w:rsidRPr="00B15F8A" w:rsidRDefault="005E0E48" w:rsidP="00B15F8A">
      <w:pPr>
        <w:spacing w:after="0" w:line="240" w:lineRule="auto"/>
        <w:jc w:val="both"/>
        <w:rPr>
          <w:rFonts w:ascii="Times New Roman" w:hAnsi="Times New Roman" w:cs="Times New Roman"/>
        </w:rPr>
      </w:pPr>
      <w:r w:rsidRPr="00B15F8A">
        <w:rPr>
          <w:rFonts w:ascii="Times New Roman" w:hAnsi="Times New Roman" w:cs="Times New Roman"/>
          <w:b/>
          <w:bCs/>
        </w:rPr>
        <w:t>INFORMATIONS À FOURNIR PAR LA BRH</w:t>
      </w:r>
    </w:p>
    <w:p w14:paraId="6B0D2B07" w14:textId="77777777" w:rsidR="005E0E48" w:rsidRPr="00B15F8A" w:rsidRDefault="005E0E48" w:rsidP="00B15F8A">
      <w:pPr>
        <w:spacing w:after="0" w:line="240" w:lineRule="auto"/>
        <w:jc w:val="both"/>
        <w:rPr>
          <w:rFonts w:ascii="Times New Roman" w:hAnsi="Times New Roman" w:cs="Times New Roman"/>
        </w:rPr>
      </w:pPr>
      <w:r w:rsidRPr="00B15F8A">
        <w:rPr>
          <w:rFonts w:ascii="Times New Roman" w:hAnsi="Times New Roman" w:cs="Times New Roman"/>
        </w:rPr>
        <w:t xml:space="preserve">La BRH mettra à la disposition du bureau d’études tous les documents et rapports qui seront sollicités pour permettre la réalisation du mandat. </w:t>
      </w:r>
    </w:p>
    <w:p w14:paraId="733890C5" w14:textId="77777777" w:rsidR="006B6E33" w:rsidRPr="00B15F8A" w:rsidRDefault="006B6E33" w:rsidP="00B15F8A">
      <w:pPr>
        <w:spacing w:after="0"/>
        <w:jc w:val="both"/>
        <w:rPr>
          <w:rFonts w:ascii="Times New Roman" w:hAnsi="Times New Roman" w:cs="Times New Roman"/>
          <w:b/>
          <w:bCs/>
        </w:rPr>
      </w:pPr>
    </w:p>
    <w:p w14:paraId="5C16BEB0" w14:textId="77777777" w:rsidR="00F84921" w:rsidRPr="00B15F8A" w:rsidRDefault="00F84921" w:rsidP="00B15F8A">
      <w:pPr>
        <w:spacing w:after="0"/>
        <w:jc w:val="both"/>
        <w:rPr>
          <w:rFonts w:ascii="Times New Roman" w:hAnsi="Times New Roman" w:cs="Times New Roman"/>
          <w:b/>
          <w:bCs/>
        </w:rPr>
      </w:pPr>
      <w:r w:rsidRPr="00B15F8A">
        <w:rPr>
          <w:rFonts w:ascii="Times New Roman" w:hAnsi="Times New Roman" w:cs="Times New Roman"/>
          <w:b/>
          <w:bCs/>
        </w:rPr>
        <w:t>Méthodologie et transfert de compétences</w:t>
      </w:r>
    </w:p>
    <w:p w14:paraId="6F9E6025" w14:textId="77777777" w:rsidR="00F84921" w:rsidRPr="00B15F8A" w:rsidRDefault="00F84921" w:rsidP="00B15F8A">
      <w:pPr>
        <w:spacing w:before="100" w:beforeAutospacing="1" w:after="100" w:afterAutospacing="1" w:line="240" w:lineRule="auto"/>
        <w:jc w:val="both"/>
        <w:rPr>
          <w:rFonts w:ascii="Times New Roman" w:eastAsia="Times New Roman" w:hAnsi="Times New Roman" w:cs="Times New Roman"/>
          <w:lang w:eastAsia="fr-FR"/>
        </w:rPr>
      </w:pPr>
      <w:r w:rsidRPr="00B15F8A">
        <w:rPr>
          <w:rFonts w:ascii="Times New Roman" w:eastAsia="Times New Roman" w:hAnsi="Times New Roman" w:cs="Times New Roman"/>
          <w:lang w:eastAsia="fr-FR"/>
        </w:rPr>
        <w:t>Le bureau d’études proposera une méthodologie structurée incluant :</w:t>
      </w:r>
    </w:p>
    <w:p w14:paraId="29DB4F19" w14:textId="77777777" w:rsidR="00F84921" w:rsidRPr="00B15F8A" w:rsidRDefault="00F84921" w:rsidP="00B15F8A">
      <w:pPr>
        <w:numPr>
          <w:ilvl w:val="0"/>
          <w:numId w:val="16"/>
        </w:numPr>
        <w:spacing w:before="100" w:beforeAutospacing="1" w:after="100" w:afterAutospacing="1" w:line="240" w:lineRule="auto"/>
        <w:jc w:val="both"/>
        <w:rPr>
          <w:rFonts w:ascii="Times New Roman" w:eastAsia="Times New Roman" w:hAnsi="Times New Roman" w:cs="Times New Roman"/>
          <w:lang w:eastAsia="fr-FR"/>
        </w:rPr>
      </w:pPr>
      <w:r w:rsidRPr="00B15F8A">
        <w:rPr>
          <w:rFonts w:ascii="Times New Roman" w:eastAsia="Times New Roman" w:hAnsi="Times New Roman" w:cs="Times New Roman"/>
          <w:lang w:eastAsia="fr-FR"/>
        </w:rPr>
        <w:t>Revue documentaire et analyse institutionnelle ;</w:t>
      </w:r>
    </w:p>
    <w:p w14:paraId="5D763C09" w14:textId="77777777" w:rsidR="00F84921" w:rsidRPr="00B15F8A" w:rsidRDefault="00F84921" w:rsidP="00B15F8A">
      <w:pPr>
        <w:numPr>
          <w:ilvl w:val="0"/>
          <w:numId w:val="16"/>
        </w:numPr>
        <w:spacing w:before="100" w:beforeAutospacing="1" w:after="100" w:afterAutospacing="1" w:line="240" w:lineRule="auto"/>
        <w:jc w:val="both"/>
        <w:rPr>
          <w:rFonts w:ascii="Times New Roman" w:eastAsia="Times New Roman" w:hAnsi="Times New Roman" w:cs="Times New Roman"/>
          <w:lang w:eastAsia="fr-FR"/>
        </w:rPr>
      </w:pPr>
      <w:r w:rsidRPr="00B15F8A">
        <w:rPr>
          <w:rFonts w:ascii="Times New Roman" w:eastAsia="Times New Roman" w:hAnsi="Times New Roman" w:cs="Times New Roman"/>
          <w:lang w:eastAsia="fr-FR"/>
        </w:rPr>
        <w:lastRenderedPageBreak/>
        <w:t>Entretiens avec les parties prenantes clés (Direction Générale, DSI, Audit interne, Gestion des risques, Sécurité informatique) ;</w:t>
      </w:r>
    </w:p>
    <w:p w14:paraId="1BEA09D3" w14:textId="77777777" w:rsidR="00F84921" w:rsidRPr="00B15F8A" w:rsidRDefault="00F84921" w:rsidP="00B15F8A">
      <w:pPr>
        <w:numPr>
          <w:ilvl w:val="0"/>
          <w:numId w:val="16"/>
        </w:numPr>
        <w:spacing w:before="100" w:beforeAutospacing="1" w:after="100" w:afterAutospacing="1" w:line="240" w:lineRule="auto"/>
        <w:jc w:val="both"/>
        <w:rPr>
          <w:rFonts w:ascii="Times New Roman" w:eastAsia="Times New Roman" w:hAnsi="Times New Roman" w:cs="Times New Roman"/>
          <w:lang w:eastAsia="fr-FR"/>
        </w:rPr>
      </w:pPr>
      <w:r w:rsidRPr="00B15F8A">
        <w:rPr>
          <w:rFonts w:ascii="Times New Roman" w:eastAsia="Times New Roman" w:hAnsi="Times New Roman" w:cs="Times New Roman"/>
          <w:lang w:eastAsia="fr-FR"/>
        </w:rPr>
        <w:t>Évaluation de maturité des processus d’audit informatique selon standards internationaux ;</w:t>
      </w:r>
    </w:p>
    <w:p w14:paraId="7C87B459" w14:textId="77777777" w:rsidR="00F84921" w:rsidRPr="00B15F8A" w:rsidRDefault="00F84921" w:rsidP="00B15F8A">
      <w:pPr>
        <w:numPr>
          <w:ilvl w:val="0"/>
          <w:numId w:val="16"/>
        </w:numPr>
        <w:spacing w:before="100" w:beforeAutospacing="1" w:after="100" w:afterAutospacing="1" w:line="240" w:lineRule="auto"/>
        <w:jc w:val="both"/>
        <w:rPr>
          <w:rFonts w:ascii="Times New Roman" w:eastAsia="Times New Roman" w:hAnsi="Times New Roman" w:cs="Times New Roman"/>
          <w:lang w:eastAsia="fr-FR"/>
        </w:rPr>
      </w:pPr>
      <w:r w:rsidRPr="00B15F8A">
        <w:rPr>
          <w:rFonts w:ascii="Times New Roman" w:eastAsia="Times New Roman" w:hAnsi="Times New Roman" w:cs="Times New Roman"/>
          <w:lang w:eastAsia="fr-FR"/>
        </w:rPr>
        <w:t>Benchmark des pratiques des banques centrales et institutions financières internationales ;</w:t>
      </w:r>
    </w:p>
    <w:p w14:paraId="7D1EAC38" w14:textId="77777777" w:rsidR="00F84921" w:rsidRPr="00B15F8A" w:rsidRDefault="00F84921" w:rsidP="00B15F8A">
      <w:pPr>
        <w:numPr>
          <w:ilvl w:val="0"/>
          <w:numId w:val="16"/>
        </w:numPr>
        <w:spacing w:before="100" w:beforeAutospacing="1" w:after="100" w:afterAutospacing="1" w:line="240" w:lineRule="auto"/>
        <w:jc w:val="both"/>
        <w:rPr>
          <w:rFonts w:ascii="Times New Roman" w:eastAsia="Times New Roman" w:hAnsi="Times New Roman" w:cs="Times New Roman"/>
          <w:lang w:eastAsia="fr-FR"/>
        </w:rPr>
      </w:pPr>
      <w:r w:rsidRPr="00B15F8A">
        <w:rPr>
          <w:rFonts w:ascii="Times New Roman" w:eastAsia="Times New Roman" w:hAnsi="Times New Roman" w:cs="Times New Roman"/>
          <w:lang w:eastAsia="fr-FR"/>
        </w:rPr>
        <w:t>Validation progressive des résultats avec la Direction d’Audit Interne.</w:t>
      </w:r>
    </w:p>
    <w:p w14:paraId="1CC1E425" w14:textId="77777777" w:rsidR="00F84921" w:rsidRPr="00B15F8A" w:rsidRDefault="00F84921" w:rsidP="00B15F8A">
      <w:pPr>
        <w:spacing w:before="100" w:beforeAutospacing="1" w:after="100" w:afterAutospacing="1" w:line="240" w:lineRule="auto"/>
        <w:jc w:val="both"/>
        <w:rPr>
          <w:rFonts w:ascii="Times New Roman" w:eastAsia="Times New Roman" w:hAnsi="Times New Roman" w:cs="Times New Roman"/>
          <w:lang w:eastAsia="fr-FR"/>
        </w:rPr>
      </w:pPr>
      <w:r w:rsidRPr="00B15F8A">
        <w:rPr>
          <w:rFonts w:ascii="Times New Roman" w:eastAsia="Times New Roman" w:hAnsi="Times New Roman" w:cs="Times New Roman"/>
          <w:lang w:eastAsia="fr-FR"/>
        </w:rPr>
        <w:t>Le transfert de compétences sera assuré par :</w:t>
      </w:r>
    </w:p>
    <w:p w14:paraId="555A2666" w14:textId="77777777" w:rsidR="00F84921" w:rsidRPr="00B15F8A" w:rsidRDefault="00F84921" w:rsidP="00B15F8A">
      <w:pPr>
        <w:numPr>
          <w:ilvl w:val="0"/>
          <w:numId w:val="17"/>
        </w:numPr>
        <w:spacing w:before="100" w:beforeAutospacing="1" w:after="100" w:afterAutospacing="1" w:line="240" w:lineRule="auto"/>
        <w:jc w:val="both"/>
        <w:rPr>
          <w:rFonts w:ascii="Times New Roman" w:eastAsia="Times New Roman" w:hAnsi="Times New Roman" w:cs="Times New Roman"/>
          <w:lang w:eastAsia="fr-FR"/>
        </w:rPr>
      </w:pPr>
      <w:r w:rsidRPr="00B15F8A">
        <w:rPr>
          <w:rFonts w:ascii="Times New Roman" w:eastAsia="Times New Roman" w:hAnsi="Times New Roman" w:cs="Times New Roman"/>
          <w:lang w:eastAsia="fr-FR"/>
        </w:rPr>
        <w:t>Ateliers pratiques ;</w:t>
      </w:r>
    </w:p>
    <w:p w14:paraId="7E7FF16A" w14:textId="77777777" w:rsidR="00F84921" w:rsidRPr="00B15F8A" w:rsidRDefault="00F84921" w:rsidP="00B15F8A">
      <w:pPr>
        <w:numPr>
          <w:ilvl w:val="0"/>
          <w:numId w:val="17"/>
        </w:numPr>
        <w:spacing w:before="100" w:beforeAutospacing="1" w:after="100" w:afterAutospacing="1" w:line="240" w:lineRule="auto"/>
        <w:jc w:val="both"/>
        <w:rPr>
          <w:rFonts w:ascii="Times New Roman" w:eastAsia="Times New Roman" w:hAnsi="Times New Roman" w:cs="Times New Roman"/>
          <w:lang w:eastAsia="fr-FR"/>
        </w:rPr>
      </w:pPr>
      <w:r w:rsidRPr="00B15F8A">
        <w:rPr>
          <w:rFonts w:ascii="Times New Roman" w:eastAsia="Times New Roman" w:hAnsi="Times New Roman" w:cs="Times New Roman"/>
          <w:lang w:eastAsia="fr-FR"/>
        </w:rPr>
        <w:t>Sessions de coaching ;</w:t>
      </w:r>
    </w:p>
    <w:p w14:paraId="0D5D71F6" w14:textId="77777777" w:rsidR="00F84921" w:rsidRPr="00B15F8A" w:rsidRDefault="00F84921" w:rsidP="00B15F8A">
      <w:pPr>
        <w:numPr>
          <w:ilvl w:val="0"/>
          <w:numId w:val="17"/>
        </w:numPr>
        <w:spacing w:before="100" w:beforeAutospacing="1" w:after="100" w:afterAutospacing="1" w:line="240" w:lineRule="auto"/>
        <w:jc w:val="both"/>
        <w:rPr>
          <w:rFonts w:ascii="Times New Roman" w:eastAsia="Times New Roman" w:hAnsi="Times New Roman" w:cs="Times New Roman"/>
          <w:lang w:eastAsia="fr-FR"/>
        </w:rPr>
      </w:pPr>
      <w:r w:rsidRPr="00B15F8A">
        <w:rPr>
          <w:rFonts w:ascii="Times New Roman" w:eastAsia="Times New Roman" w:hAnsi="Times New Roman" w:cs="Times New Roman"/>
          <w:lang w:eastAsia="fr-FR"/>
        </w:rPr>
        <w:t>Documentation méthodologique développée pour la mission.</w:t>
      </w:r>
    </w:p>
    <w:p w14:paraId="54E9A6FC" w14:textId="77777777" w:rsidR="00F84921" w:rsidRPr="00B15F8A" w:rsidRDefault="00F84921" w:rsidP="00B15F8A">
      <w:pPr>
        <w:spacing w:after="0"/>
        <w:jc w:val="both"/>
        <w:rPr>
          <w:rFonts w:ascii="Times New Roman" w:hAnsi="Times New Roman" w:cs="Times New Roman"/>
          <w:b/>
          <w:bCs/>
        </w:rPr>
      </w:pPr>
      <w:r w:rsidRPr="00B15F8A">
        <w:rPr>
          <w:rFonts w:ascii="Times New Roman" w:hAnsi="Times New Roman" w:cs="Times New Roman"/>
          <w:b/>
          <w:bCs/>
        </w:rPr>
        <w:t>Gouvernance, suivi et gestion des risques</w:t>
      </w:r>
    </w:p>
    <w:p w14:paraId="22B7E95D" w14:textId="77777777" w:rsidR="00F84921" w:rsidRPr="00B15F8A" w:rsidRDefault="00F84921" w:rsidP="00B15F8A">
      <w:pPr>
        <w:spacing w:before="100" w:beforeAutospacing="1" w:after="100" w:afterAutospacing="1" w:line="240" w:lineRule="auto"/>
        <w:jc w:val="both"/>
        <w:rPr>
          <w:rFonts w:ascii="Times New Roman" w:eastAsia="Times New Roman" w:hAnsi="Times New Roman" w:cs="Times New Roman"/>
          <w:lang w:eastAsia="fr-FR"/>
        </w:rPr>
      </w:pPr>
      <w:r w:rsidRPr="00B15F8A">
        <w:rPr>
          <w:rFonts w:ascii="Times New Roman" w:eastAsia="Times New Roman" w:hAnsi="Times New Roman" w:cs="Times New Roman"/>
          <w:lang w:eastAsia="fr-FR"/>
        </w:rPr>
        <w:t>Un comité de suivi, composé de représentants de la Direction d’Audit Interne, de la DSI et d’Expertise France, supervisera la mission.</w:t>
      </w:r>
    </w:p>
    <w:p w14:paraId="04806A22" w14:textId="77777777" w:rsidR="00F84921" w:rsidRPr="00B15F8A" w:rsidRDefault="00F84921" w:rsidP="00B15F8A">
      <w:pPr>
        <w:spacing w:before="100" w:beforeAutospacing="1" w:after="100" w:afterAutospacing="1" w:line="240" w:lineRule="auto"/>
        <w:jc w:val="both"/>
        <w:rPr>
          <w:rFonts w:ascii="Times New Roman" w:eastAsia="Times New Roman" w:hAnsi="Times New Roman" w:cs="Times New Roman"/>
          <w:lang w:eastAsia="fr-FR"/>
        </w:rPr>
      </w:pPr>
      <w:r w:rsidRPr="00B15F8A">
        <w:rPr>
          <w:rFonts w:ascii="Times New Roman" w:eastAsia="Times New Roman" w:hAnsi="Times New Roman" w:cs="Times New Roman"/>
          <w:lang w:eastAsia="fr-FR"/>
        </w:rPr>
        <w:t>Le comité assurera :</w:t>
      </w:r>
    </w:p>
    <w:p w14:paraId="4D74498E" w14:textId="77777777" w:rsidR="00F84921" w:rsidRPr="00B15F8A" w:rsidRDefault="00F84921" w:rsidP="00B15F8A">
      <w:pPr>
        <w:numPr>
          <w:ilvl w:val="0"/>
          <w:numId w:val="18"/>
        </w:numPr>
        <w:spacing w:before="100" w:beforeAutospacing="1" w:after="100" w:afterAutospacing="1" w:line="240" w:lineRule="auto"/>
        <w:jc w:val="both"/>
        <w:rPr>
          <w:rFonts w:ascii="Times New Roman" w:eastAsia="Times New Roman" w:hAnsi="Times New Roman" w:cs="Times New Roman"/>
          <w:lang w:eastAsia="fr-FR"/>
        </w:rPr>
      </w:pPr>
      <w:proofErr w:type="gramStart"/>
      <w:r w:rsidRPr="00B15F8A">
        <w:rPr>
          <w:rFonts w:ascii="Times New Roman" w:eastAsia="Times New Roman" w:hAnsi="Times New Roman" w:cs="Times New Roman"/>
          <w:lang w:eastAsia="fr-FR"/>
        </w:rPr>
        <w:t>la</w:t>
      </w:r>
      <w:proofErr w:type="gramEnd"/>
      <w:r w:rsidRPr="00B15F8A">
        <w:rPr>
          <w:rFonts w:ascii="Times New Roman" w:eastAsia="Times New Roman" w:hAnsi="Times New Roman" w:cs="Times New Roman"/>
          <w:lang w:eastAsia="fr-FR"/>
        </w:rPr>
        <w:t xml:space="preserve"> validation des livrables intermédiaires ;</w:t>
      </w:r>
    </w:p>
    <w:p w14:paraId="0136B710" w14:textId="77777777" w:rsidR="00F84921" w:rsidRPr="00B15F8A" w:rsidRDefault="00F84921" w:rsidP="00B15F8A">
      <w:pPr>
        <w:numPr>
          <w:ilvl w:val="0"/>
          <w:numId w:val="18"/>
        </w:numPr>
        <w:spacing w:before="100" w:beforeAutospacing="1" w:after="100" w:afterAutospacing="1" w:line="240" w:lineRule="auto"/>
        <w:jc w:val="both"/>
        <w:rPr>
          <w:rFonts w:ascii="Times New Roman" w:eastAsia="Times New Roman" w:hAnsi="Times New Roman" w:cs="Times New Roman"/>
          <w:lang w:eastAsia="fr-FR"/>
        </w:rPr>
      </w:pPr>
      <w:proofErr w:type="gramStart"/>
      <w:r w:rsidRPr="00B15F8A">
        <w:rPr>
          <w:rFonts w:ascii="Times New Roman" w:eastAsia="Times New Roman" w:hAnsi="Times New Roman" w:cs="Times New Roman"/>
          <w:lang w:eastAsia="fr-FR"/>
        </w:rPr>
        <w:t>l’identification</w:t>
      </w:r>
      <w:proofErr w:type="gramEnd"/>
      <w:r w:rsidRPr="00B15F8A">
        <w:rPr>
          <w:rFonts w:ascii="Times New Roman" w:eastAsia="Times New Roman" w:hAnsi="Times New Roman" w:cs="Times New Roman"/>
          <w:lang w:eastAsia="fr-FR"/>
        </w:rPr>
        <w:t xml:space="preserve"> des contraintes éventuelles ;</w:t>
      </w:r>
    </w:p>
    <w:p w14:paraId="2B199890" w14:textId="77777777" w:rsidR="00F84921" w:rsidRPr="00B15F8A" w:rsidRDefault="00F84921" w:rsidP="00B15F8A">
      <w:pPr>
        <w:numPr>
          <w:ilvl w:val="0"/>
          <w:numId w:val="18"/>
        </w:numPr>
        <w:spacing w:before="100" w:beforeAutospacing="1" w:after="100" w:afterAutospacing="1" w:line="240" w:lineRule="auto"/>
        <w:jc w:val="both"/>
        <w:rPr>
          <w:rFonts w:ascii="Times New Roman" w:eastAsia="Times New Roman" w:hAnsi="Times New Roman" w:cs="Times New Roman"/>
          <w:lang w:eastAsia="fr-FR"/>
        </w:rPr>
      </w:pPr>
      <w:proofErr w:type="gramStart"/>
      <w:r w:rsidRPr="00B15F8A">
        <w:rPr>
          <w:rFonts w:ascii="Times New Roman" w:eastAsia="Times New Roman" w:hAnsi="Times New Roman" w:cs="Times New Roman"/>
          <w:lang w:eastAsia="fr-FR"/>
        </w:rPr>
        <w:t>l’ajustement</w:t>
      </w:r>
      <w:proofErr w:type="gramEnd"/>
      <w:r w:rsidRPr="00B15F8A">
        <w:rPr>
          <w:rFonts w:ascii="Times New Roman" w:eastAsia="Times New Roman" w:hAnsi="Times New Roman" w:cs="Times New Roman"/>
          <w:lang w:eastAsia="fr-FR"/>
        </w:rPr>
        <w:t xml:space="preserve"> du plan de travail si nécessaire.</w:t>
      </w:r>
    </w:p>
    <w:p w14:paraId="34154DD6" w14:textId="4D2112D9" w:rsidR="005E0E48" w:rsidRPr="00AE563B" w:rsidRDefault="00F84921" w:rsidP="00AE563B">
      <w:pPr>
        <w:spacing w:before="100" w:beforeAutospacing="1" w:after="100" w:afterAutospacing="1" w:line="240" w:lineRule="auto"/>
        <w:jc w:val="both"/>
        <w:rPr>
          <w:rFonts w:ascii="Times New Roman" w:eastAsia="Times New Roman" w:hAnsi="Times New Roman" w:cs="Times New Roman"/>
          <w:lang w:eastAsia="fr-FR"/>
        </w:rPr>
      </w:pPr>
      <w:r w:rsidRPr="00B15F8A">
        <w:rPr>
          <w:rFonts w:ascii="Times New Roman" w:eastAsia="Times New Roman" w:hAnsi="Times New Roman" w:cs="Times New Roman"/>
          <w:lang w:eastAsia="fr-FR"/>
        </w:rPr>
        <w:t>Le bureau d’études identifiera également les risques pouvant affecter la réalisation de la mission (contraintes sécuritaires, disponibilité des parties prenantes, accès aux infrastructures) et proposera des mesures d’atténuation</w:t>
      </w:r>
      <w:r w:rsidR="00AE563B">
        <w:rPr>
          <w:rFonts w:ascii="Times New Roman" w:eastAsia="Times New Roman" w:hAnsi="Times New Roman" w:cs="Times New Roman"/>
          <w:lang w:eastAsia="fr-FR"/>
        </w:rPr>
        <w:t>.</w:t>
      </w:r>
    </w:p>
    <w:p w14:paraId="3057E7BB" w14:textId="77777777" w:rsidR="002240E7" w:rsidRPr="00B15F8A" w:rsidRDefault="001067C6" w:rsidP="00B15F8A">
      <w:pPr>
        <w:spacing w:after="0"/>
        <w:jc w:val="both"/>
        <w:rPr>
          <w:rFonts w:ascii="Times New Roman" w:hAnsi="Times New Roman" w:cs="Times New Roman"/>
        </w:rPr>
      </w:pPr>
      <w:r w:rsidRPr="00B15F8A">
        <w:rPr>
          <w:rFonts w:ascii="Times New Roman" w:hAnsi="Times New Roman" w:cs="Times New Roman"/>
          <w:b/>
          <w:bCs/>
        </w:rPr>
        <w:t>LIVRABLES ATTENDUS</w:t>
      </w:r>
    </w:p>
    <w:tbl>
      <w:tblPr>
        <w:tblStyle w:val="Grilledutableau"/>
        <w:tblW w:w="10632" w:type="dxa"/>
        <w:tblInd w:w="-289" w:type="dxa"/>
        <w:tblLook w:val="04A0" w:firstRow="1" w:lastRow="0" w:firstColumn="1" w:lastColumn="0" w:noHBand="0" w:noVBand="1"/>
      </w:tblPr>
      <w:tblGrid>
        <w:gridCol w:w="8648"/>
        <w:gridCol w:w="1984"/>
      </w:tblGrid>
      <w:tr w:rsidR="002240E7" w:rsidRPr="00B15F8A" w14:paraId="5FCD4306" w14:textId="77777777" w:rsidTr="006B6E33">
        <w:tc>
          <w:tcPr>
            <w:tcW w:w="8648" w:type="dxa"/>
            <w:shd w:val="clear" w:color="auto" w:fill="BFBFBF" w:themeFill="background1" w:themeFillShade="BF"/>
          </w:tcPr>
          <w:p w14:paraId="3761B45F" w14:textId="77777777" w:rsidR="002240E7" w:rsidRPr="00B15F8A" w:rsidRDefault="002240E7" w:rsidP="00B15F8A">
            <w:pPr>
              <w:spacing w:line="276" w:lineRule="auto"/>
              <w:jc w:val="both"/>
              <w:rPr>
                <w:b/>
                <w:bCs/>
                <w:sz w:val="24"/>
                <w:szCs w:val="24"/>
              </w:rPr>
            </w:pPr>
            <w:bookmarkStart w:id="4" w:name="_Hlk236300787"/>
            <w:r w:rsidRPr="00B15F8A">
              <w:rPr>
                <w:b/>
                <w:bCs/>
                <w:sz w:val="24"/>
                <w:szCs w:val="24"/>
              </w:rPr>
              <w:t>Livrables</w:t>
            </w:r>
          </w:p>
        </w:tc>
        <w:tc>
          <w:tcPr>
            <w:tcW w:w="1984" w:type="dxa"/>
            <w:shd w:val="clear" w:color="auto" w:fill="BFBFBF" w:themeFill="background1" w:themeFillShade="BF"/>
          </w:tcPr>
          <w:p w14:paraId="3A516645" w14:textId="77777777" w:rsidR="002240E7" w:rsidRPr="00B15F8A" w:rsidRDefault="002240E7" w:rsidP="00B15F8A">
            <w:pPr>
              <w:spacing w:line="276" w:lineRule="auto"/>
              <w:jc w:val="both"/>
              <w:rPr>
                <w:b/>
                <w:bCs/>
                <w:sz w:val="24"/>
                <w:szCs w:val="24"/>
              </w:rPr>
            </w:pPr>
            <w:r w:rsidRPr="00B15F8A">
              <w:rPr>
                <w:b/>
                <w:bCs/>
                <w:sz w:val="24"/>
                <w:szCs w:val="24"/>
              </w:rPr>
              <w:t>Date de livraison</w:t>
            </w:r>
          </w:p>
        </w:tc>
      </w:tr>
      <w:tr w:rsidR="002240E7" w:rsidRPr="00B15F8A" w14:paraId="7CF1F148" w14:textId="77777777" w:rsidTr="006B6E33">
        <w:tc>
          <w:tcPr>
            <w:tcW w:w="8648" w:type="dxa"/>
            <w:vAlign w:val="center"/>
          </w:tcPr>
          <w:p w14:paraId="609134D7" w14:textId="77777777" w:rsidR="002240E7" w:rsidRPr="00B15F8A" w:rsidRDefault="002240E7" w:rsidP="00B15F8A">
            <w:pPr>
              <w:pStyle w:val="NormalWeb"/>
              <w:numPr>
                <w:ilvl w:val="0"/>
                <w:numId w:val="12"/>
              </w:numPr>
              <w:spacing w:after="0" w:afterAutospacing="0" w:line="276" w:lineRule="auto"/>
              <w:jc w:val="both"/>
              <w:rPr>
                <w:sz w:val="24"/>
                <w:szCs w:val="24"/>
                <w:lang w:val="fr-FR"/>
              </w:rPr>
            </w:pPr>
            <w:r w:rsidRPr="00B15F8A">
              <w:rPr>
                <w:sz w:val="24"/>
                <w:szCs w:val="24"/>
                <w:lang w:val="fr-FR"/>
              </w:rPr>
              <w:t xml:space="preserve">Rapport d’évaluation détaillé de la structure existante et la proposition d’une nouvelle structure organisationnelle pour la fonction d'audit informatique, </w:t>
            </w:r>
            <w:r w:rsidRPr="00B15F8A">
              <w:rPr>
                <w:rStyle w:val="lev"/>
                <w:rFonts w:eastAsiaTheme="majorEastAsia"/>
                <w:b w:val="0"/>
                <w:sz w:val="24"/>
                <w:szCs w:val="24"/>
                <w:lang w:val="fr-FR"/>
              </w:rPr>
              <w:t>incluant l’évaluation de maturité du SASI, l’analyse des contrôles généraux informatiques (ITGC), la cyber résilience et la continuité d’activité</w:t>
            </w:r>
            <w:r w:rsidRPr="00B15F8A">
              <w:rPr>
                <w:sz w:val="24"/>
                <w:szCs w:val="24"/>
                <w:lang w:val="fr-FR"/>
              </w:rPr>
              <w:t>, ainsi que l’évaluation des systèmes financiers critiques et infrastructures de paiement.</w:t>
            </w:r>
          </w:p>
        </w:tc>
        <w:tc>
          <w:tcPr>
            <w:tcW w:w="1984" w:type="dxa"/>
            <w:vAlign w:val="center"/>
          </w:tcPr>
          <w:p w14:paraId="3DA4F904" w14:textId="77777777" w:rsidR="002240E7" w:rsidRPr="00B15F8A" w:rsidRDefault="002240E7" w:rsidP="00B15F8A">
            <w:pPr>
              <w:spacing w:line="276" w:lineRule="auto"/>
              <w:jc w:val="both"/>
              <w:rPr>
                <w:sz w:val="24"/>
                <w:szCs w:val="24"/>
              </w:rPr>
            </w:pPr>
            <w:r w:rsidRPr="00B15F8A">
              <w:rPr>
                <w:sz w:val="24"/>
                <w:szCs w:val="24"/>
              </w:rPr>
              <w:t>Mois 01</w:t>
            </w:r>
          </w:p>
        </w:tc>
      </w:tr>
      <w:tr w:rsidR="002240E7" w:rsidRPr="00B15F8A" w14:paraId="49FDB523" w14:textId="77777777" w:rsidTr="006B6E33">
        <w:tc>
          <w:tcPr>
            <w:tcW w:w="8648" w:type="dxa"/>
            <w:vAlign w:val="center"/>
          </w:tcPr>
          <w:p w14:paraId="68C24766" w14:textId="77777777" w:rsidR="002240E7" w:rsidRPr="00B15F8A" w:rsidRDefault="002240E7" w:rsidP="00B15F8A">
            <w:pPr>
              <w:pStyle w:val="NormalWeb"/>
              <w:numPr>
                <w:ilvl w:val="0"/>
                <w:numId w:val="12"/>
              </w:numPr>
              <w:spacing w:after="0" w:afterAutospacing="0" w:line="276" w:lineRule="auto"/>
              <w:jc w:val="both"/>
              <w:rPr>
                <w:sz w:val="24"/>
                <w:szCs w:val="24"/>
                <w:lang w:val="fr-FR"/>
              </w:rPr>
            </w:pPr>
            <w:r w:rsidRPr="00B15F8A">
              <w:rPr>
                <w:sz w:val="24"/>
                <w:szCs w:val="24"/>
                <w:lang w:val="fr-FR"/>
              </w:rPr>
              <w:t>Un manuel de procédures pour la réalisation des missions d’audit aligné avec les normes internationales (IIA, COBIT, ISO, etc.), intégrant méthodologies, outils, bonnes pratiques et recommandations pour la conduite des audits assistés par la technologie.</w:t>
            </w:r>
          </w:p>
        </w:tc>
        <w:tc>
          <w:tcPr>
            <w:tcW w:w="1984" w:type="dxa"/>
            <w:vAlign w:val="center"/>
          </w:tcPr>
          <w:p w14:paraId="0039F1CB" w14:textId="77777777" w:rsidR="002240E7" w:rsidRPr="00B15F8A" w:rsidRDefault="002240E7" w:rsidP="00B15F8A">
            <w:pPr>
              <w:spacing w:line="276" w:lineRule="auto"/>
              <w:jc w:val="both"/>
              <w:rPr>
                <w:sz w:val="24"/>
                <w:szCs w:val="24"/>
              </w:rPr>
            </w:pPr>
            <w:r w:rsidRPr="00B15F8A">
              <w:rPr>
                <w:sz w:val="24"/>
                <w:szCs w:val="24"/>
              </w:rPr>
              <w:t>Mois 2 et 3</w:t>
            </w:r>
          </w:p>
        </w:tc>
      </w:tr>
      <w:tr w:rsidR="002240E7" w:rsidRPr="00B15F8A" w14:paraId="204A5004" w14:textId="77777777" w:rsidTr="006B6E33">
        <w:tc>
          <w:tcPr>
            <w:tcW w:w="8648" w:type="dxa"/>
            <w:vAlign w:val="center"/>
          </w:tcPr>
          <w:p w14:paraId="251AE8FE" w14:textId="08B08801" w:rsidR="002240E7" w:rsidRPr="00B15F8A" w:rsidRDefault="002240E7" w:rsidP="00B15F8A">
            <w:pPr>
              <w:pStyle w:val="Paragraphedeliste"/>
              <w:numPr>
                <w:ilvl w:val="0"/>
                <w:numId w:val="12"/>
              </w:numPr>
              <w:spacing w:line="276" w:lineRule="auto"/>
              <w:jc w:val="both"/>
              <w:rPr>
                <w:sz w:val="24"/>
                <w:szCs w:val="24"/>
              </w:rPr>
            </w:pPr>
            <w:r w:rsidRPr="00B15F8A">
              <w:rPr>
                <w:sz w:val="24"/>
                <w:szCs w:val="24"/>
              </w:rPr>
              <w:t xml:space="preserve">Une cartographie complète des risques informatiques de la </w:t>
            </w:r>
            <w:r w:rsidR="004F5DF2" w:rsidRPr="00B15F8A">
              <w:rPr>
                <w:sz w:val="24"/>
                <w:szCs w:val="24"/>
              </w:rPr>
              <w:t>banque, intégrant</w:t>
            </w:r>
            <w:r w:rsidRPr="00B15F8A">
              <w:rPr>
                <w:sz w:val="24"/>
                <w:szCs w:val="24"/>
              </w:rPr>
              <w:t xml:space="preserve"> les risques liés aux technologies émergentes (IA, automatisation), la gouvernance des données et les risques de sécurité, </w:t>
            </w:r>
            <w:r w:rsidRPr="00B15F8A">
              <w:rPr>
                <w:rStyle w:val="lev"/>
                <w:rFonts w:eastAsiaTheme="majorEastAsia"/>
                <w:b w:val="0"/>
                <w:sz w:val="24"/>
                <w:szCs w:val="24"/>
              </w:rPr>
              <w:t>accompagnée du plan d’audit sur trois (3) ans au moins correspondant et des priorités de traitement</w:t>
            </w:r>
            <w:r w:rsidRPr="00B15F8A">
              <w:rPr>
                <w:sz w:val="24"/>
                <w:szCs w:val="24"/>
              </w:rPr>
              <w:t>.</w:t>
            </w:r>
          </w:p>
        </w:tc>
        <w:tc>
          <w:tcPr>
            <w:tcW w:w="1984" w:type="dxa"/>
            <w:vAlign w:val="center"/>
          </w:tcPr>
          <w:p w14:paraId="14692202" w14:textId="77777777" w:rsidR="002240E7" w:rsidRPr="00B15F8A" w:rsidRDefault="002240E7" w:rsidP="00B15F8A">
            <w:pPr>
              <w:spacing w:line="276" w:lineRule="auto"/>
              <w:jc w:val="both"/>
              <w:rPr>
                <w:sz w:val="24"/>
                <w:szCs w:val="24"/>
              </w:rPr>
            </w:pPr>
            <w:r w:rsidRPr="00B15F8A">
              <w:rPr>
                <w:sz w:val="24"/>
                <w:szCs w:val="24"/>
              </w:rPr>
              <w:t>Mois 3 et 4</w:t>
            </w:r>
          </w:p>
        </w:tc>
      </w:tr>
      <w:tr w:rsidR="002240E7" w:rsidRPr="00B15F8A" w14:paraId="166B030B" w14:textId="77777777" w:rsidTr="006B6E33">
        <w:tc>
          <w:tcPr>
            <w:tcW w:w="8648" w:type="dxa"/>
            <w:vAlign w:val="center"/>
          </w:tcPr>
          <w:p w14:paraId="5DEC6026" w14:textId="77777777" w:rsidR="002240E7" w:rsidRPr="00B15F8A" w:rsidRDefault="003557AA" w:rsidP="00B15F8A">
            <w:pPr>
              <w:pStyle w:val="NormalWeb"/>
              <w:numPr>
                <w:ilvl w:val="0"/>
                <w:numId w:val="12"/>
              </w:numPr>
              <w:spacing w:after="0" w:afterAutospacing="0" w:line="276" w:lineRule="auto"/>
              <w:jc w:val="both"/>
              <w:rPr>
                <w:sz w:val="24"/>
                <w:szCs w:val="24"/>
                <w:lang w:val="fr-FR"/>
              </w:rPr>
            </w:pPr>
            <w:r w:rsidRPr="00B15F8A">
              <w:rPr>
                <w:sz w:val="24"/>
                <w:szCs w:val="24"/>
                <w:lang w:val="fr-FR"/>
              </w:rPr>
              <w:lastRenderedPageBreak/>
              <w:t xml:space="preserve">Plan de formation et sessions de coaching pour le personnel du SASI, </w:t>
            </w:r>
            <w:r w:rsidRPr="00B15F8A">
              <w:rPr>
                <w:rStyle w:val="lev"/>
                <w:rFonts w:eastAsiaTheme="majorEastAsia"/>
                <w:b w:val="0"/>
                <w:sz w:val="24"/>
                <w:szCs w:val="24"/>
                <w:lang w:val="fr-FR"/>
              </w:rPr>
              <w:t>couvrant cybersécurité, intelligence artificielle, audit assisté par la technologie, bonnes pratiques internationales et certifications pertinentes (CISA, CISSP, ISO 27001, etc.)</w:t>
            </w:r>
          </w:p>
        </w:tc>
        <w:tc>
          <w:tcPr>
            <w:tcW w:w="1984" w:type="dxa"/>
            <w:vAlign w:val="center"/>
          </w:tcPr>
          <w:p w14:paraId="50318292" w14:textId="77777777" w:rsidR="002240E7" w:rsidRPr="00B15F8A" w:rsidRDefault="002240E7" w:rsidP="00B15F8A">
            <w:pPr>
              <w:spacing w:line="276" w:lineRule="auto"/>
              <w:jc w:val="both"/>
              <w:rPr>
                <w:sz w:val="24"/>
                <w:szCs w:val="24"/>
              </w:rPr>
            </w:pPr>
            <w:r w:rsidRPr="00B15F8A">
              <w:rPr>
                <w:sz w:val="24"/>
                <w:szCs w:val="24"/>
              </w:rPr>
              <w:t>Mois 4 et 6</w:t>
            </w:r>
          </w:p>
        </w:tc>
      </w:tr>
      <w:tr w:rsidR="003557AA" w:rsidRPr="00B15F8A" w14:paraId="265E0252" w14:textId="77777777" w:rsidTr="006B6E33">
        <w:tc>
          <w:tcPr>
            <w:tcW w:w="8648" w:type="dxa"/>
            <w:vAlign w:val="center"/>
          </w:tcPr>
          <w:p w14:paraId="226074F8" w14:textId="77777777" w:rsidR="003557AA" w:rsidRPr="00B15F8A" w:rsidRDefault="003557AA" w:rsidP="00B15F8A">
            <w:pPr>
              <w:pStyle w:val="NormalWeb"/>
              <w:numPr>
                <w:ilvl w:val="0"/>
                <w:numId w:val="12"/>
              </w:numPr>
              <w:spacing w:after="0" w:afterAutospacing="0" w:line="276" w:lineRule="auto"/>
              <w:jc w:val="both"/>
              <w:rPr>
                <w:sz w:val="24"/>
                <w:szCs w:val="24"/>
                <w:lang w:val="fr-FR"/>
              </w:rPr>
            </w:pPr>
            <w:r w:rsidRPr="00B15F8A">
              <w:rPr>
                <w:sz w:val="24"/>
                <w:szCs w:val="24"/>
                <w:lang w:val="fr-FR"/>
              </w:rPr>
              <w:t xml:space="preserve">Feuille de route opérationnelle pour la mise en œuvre des recommandations, </w:t>
            </w:r>
            <w:r w:rsidRPr="00B15F8A">
              <w:rPr>
                <w:rStyle w:val="lev"/>
                <w:rFonts w:eastAsiaTheme="majorEastAsia"/>
                <w:b w:val="0"/>
                <w:sz w:val="24"/>
                <w:szCs w:val="24"/>
                <w:lang w:val="fr-FR"/>
              </w:rPr>
              <w:t>détaillant la priorisation des actions, les ressources nécessaires, le calendrier prévisionnel et les indicateurs de performance</w:t>
            </w:r>
          </w:p>
        </w:tc>
        <w:tc>
          <w:tcPr>
            <w:tcW w:w="1984" w:type="dxa"/>
            <w:vAlign w:val="center"/>
          </w:tcPr>
          <w:p w14:paraId="69741BDE" w14:textId="77777777" w:rsidR="003557AA" w:rsidRPr="00B15F8A" w:rsidRDefault="003557AA" w:rsidP="00B15F8A">
            <w:pPr>
              <w:spacing w:line="276" w:lineRule="auto"/>
              <w:jc w:val="both"/>
              <w:rPr>
                <w:sz w:val="24"/>
                <w:szCs w:val="24"/>
              </w:rPr>
            </w:pPr>
            <w:r w:rsidRPr="00B15F8A">
              <w:rPr>
                <w:sz w:val="24"/>
                <w:szCs w:val="24"/>
              </w:rPr>
              <w:t>Mois 4 et 6</w:t>
            </w:r>
          </w:p>
        </w:tc>
      </w:tr>
      <w:bookmarkEnd w:id="4"/>
    </w:tbl>
    <w:p w14:paraId="7F8BC220" w14:textId="77777777" w:rsidR="002240E7" w:rsidRPr="00B15F8A" w:rsidRDefault="002240E7" w:rsidP="00B15F8A">
      <w:pPr>
        <w:spacing w:after="0"/>
        <w:jc w:val="both"/>
        <w:rPr>
          <w:rFonts w:ascii="Times New Roman" w:hAnsi="Times New Roman" w:cs="Times New Roman"/>
          <w:b/>
          <w:bCs/>
        </w:rPr>
      </w:pPr>
    </w:p>
    <w:p w14:paraId="2FA34AA0" w14:textId="77777777" w:rsidR="005E0E48" w:rsidRPr="00B15F8A" w:rsidRDefault="005E0E48" w:rsidP="00B15F8A">
      <w:pPr>
        <w:spacing w:after="0"/>
        <w:jc w:val="both"/>
        <w:rPr>
          <w:rFonts w:ascii="Times New Roman" w:hAnsi="Times New Roman" w:cs="Times New Roman"/>
          <w:b/>
          <w:bCs/>
        </w:rPr>
      </w:pPr>
      <w:r w:rsidRPr="00B15F8A">
        <w:rPr>
          <w:rFonts w:ascii="Times New Roman" w:hAnsi="Times New Roman" w:cs="Times New Roman"/>
        </w:rPr>
        <w:t>PROFIL DU BUREAU D'ÉTUDES ET DE L'ÉQUIPE CLÉ</w:t>
      </w:r>
    </w:p>
    <w:p w14:paraId="26729F7D" w14:textId="77777777" w:rsidR="00966082" w:rsidRPr="00B15F8A" w:rsidRDefault="00000000" w:rsidP="00B15F8A">
      <w:pPr>
        <w:jc w:val="both"/>
        <w:rPr>
          <w:rFonts w:ascii="Times New Roman" w:hAnsi="Times New Roman" w:cs="Times New Roman"/>
        </w:rPr>
      </w:pPr>
      <w:r w:rsidRPr="00B15F8A">
        <w:rPr>
          <w:rFonts w:ascii="Times New Roman" w:hAnsi="Times New Roman" w:cs="Times New Roman"/>
        </w:rPr>
        <w:t>Exigences communes : expérience de missions similaires, capacité de transfert de compétences, excellente maîtrise du français, respect de la confidentialité et aptitude à intervenir en environnement multisites.</w:t>
      </w:r>
    </w:p>
    <w:p w14:paraId="6514B581" w14:textId="77777777" w:rsidR="00B15F8A" w:rsidRPr="00B15F8A" w:rsidRDefault="00B15F8A" w:rsidP="00B15F8A">
      <w:pPr>
        <w:jc w:val="both"/>
        <w:rPr>
          <w:rFonts w:ascii="Times New Roman" w:hAnsi="Times New Roman" w:cs="Times New Roman"/>
        </w:rPr>
      </w:pPr>
      <w:r w:rsidRPr="00B15F8A">
        <w:rPr>
          <w:rFonts w:ascii="Times New Roman" w:hAnsi="Times New Roman" w:cs="Times New Roman"/>
        </w:rPr>
        <w:t>Le bureau d'études devra mobiliser au minimum les profils suivants :</w:t>
      </w:r>
    </w:p>
    <w:p w14:paraId="1147A751" w14:textId="04EA9BC1" w:rsidR="00B15F8A" w:rsidRPr="00B15F8A" w:rsidRDefault="00B15F8A" w:rsidP="00B15F8A">
      <w:pPr>
        <w:pStyle w:val="Paragraphedeliste"/>
        <w:numPr>
          <w:ilvl w:val="1"/>
          <w:numId w:val="16"/>
        </w:numPr>
        <w:jc w:val="both"/>
        <w:rPr>
          <w:rFonts w:ascii="Times New Roman" w:hAnsi="Times New Roman" w:cs="Times New Roman"/>
        </w:rPr>
      </w:pPr>
      <w:r w:rsidRPr="00B15F8A">
        <w:rPr>
          <w:rFonts w:ascii="Times New Roman" w:hAnsi="Times New Roman" w:cs="Times New Roman"/>
        </w:rPr>
        <w:t>Chef de mission / Expert en transformation organisationnelle : Master ou équivalent, au moins 10 années d'expérience, conduite de projets complexes, gouvernance, conduite du changement et renforcement des capacités.</w:t>
      </w:r>
      <w:r>
        <w:rPr>
          <w:rFonts w:ascii="Times New Roman" w:hAnsi="Times New Roman" w:cs="Times New Roman"/>
        </w:rPr>
        <w:br/>
      </w:r>
    </w:p>
    <w:p w14:paraId="1201AF9D" w14:textId="3765FFF9" w:rsidR="00966082" w:rsidRPr="00B15F8A" w:rsidRDefault="00000000" w:rsidP="00B15F8A">
      <w:pPr>
        <w:pStyle w:val="Paragraphedeliste"/>
        <w:numPr>
          <w:ilvl w:val="1"/>
          <w:numId w:val="16"/>
        </w:numPr>
        <w:jc w:val="both"/>
        <w:rPr>
          <w:rFonts w:ascii="Times New Roman" w:hAnsi="Times New Roman" w:cs="Times New Roman"/>
        </w:rPr>
      </w:pPr>
      <w:r w:rsidRPr="00B15F8A">
        <w:rPr>
          <w:rFonts w:ascii="Times New Roman" w:hAnsi="Times New Roman" w:cs="Times New Roman"/>
        </w:rPr>
        <w:t>Expert en cybersécurité et gouvernance des systèmes d'information : diplôme supérieur, expérience confirmée en cybersécurité et gestion des risques, maîtrise des référentiels ISO 27001, NIST et COBIT ; les certifications professionnelles pertinentes constituent un atout.</w:t>
      </w:r>
      <w:r w:rsidR="00B15F8A">
        <w:rPr>
          <w:rFonts w:ascii="Times New Roman" w:hAnsi="Times New Roman" w:cs="Times New Roman"/>
        </w:rPr>
        <w:br/>
      </w:r>
    </w:p>
    <w:p w14:paraId="41E14F08" w14:textId="55215312" w:rsidR="00966082" w:rsidRPr="00AE563B" w:rsidRDefault="00000000" w:rsidP="00B15F8A">
      <w:pPr>
        <w:pStyle w:val="Paragraphedeliste"/>
        <w:numPr>
          <w:ilvl w:val="1"/>
          <w:numId w:val="16"/>
        </w:numPr>
        <w:jc w:val="both"/>
        <w:rPr>
          <w:rFonts w:ascii="Times New Roman" w:hAnsi="Times New Roman" w:cs="Times New Roman"/>
        </w:rPr>
      </w:pPr>
      <w:r w:rsidRPr="00B15F8A">
        <w:rPr>
          <w:rFonts w:ascii="Times New Roman" w:hAnsi="Times New Roman" w:cs="Times New Roman"/>
        </w:rPr>
        <w:t>Expert senior en audit informatique : Master ou équivalent, au moins 8 années d'expérience, maîtrise des référentiels IIA, COBIT et ISACA, expérience dans le secteur bancaire, financier ou institutionnel.</w:t>
      </w:r>
    </w:p>
    <w:p w14:paraId="7BA1AEBC" w14:textId="77777777" w:rsidR="00966082" w:rsidRPr="00B15F8A" w:rsidRDefault="00000000" w:rsidP="00B15F8A">
      <w:pPr>
        <w:jc w:val="both"/>
        <w:rPr>
          <w:rFonts w:ascii="Times New Roman" w:hAnsi="Times New Roman" w:cs="Times New Roman"/>
        </w:rPr>
      </w:pPr>
      <w:r w:rsidRPr="00B15F8A">
        <w:rPr>
          <w:rFonts w:ascii="Times New Roman" w:hAnsi="Times New Roman" w:cs="Times New Roman"/>
        </w:rPr>
        <w:t>Le soumissionnaire devra être un bureau d'études ou un cabinet de conseil justifiant d'une expérience avérée dans les domaines de l'audit informatique, de la cybersécurité, de la gouvernance des systèmes d'information et de la transformation organisationnelle.</w:t>
      </w:r>
    </w:p>
    <w:p w14:paraId="04B9516B" w14:textId="77777777" w:rsidR="00D80519" w:rsidRPr="00B15F8A" w:rsidRDefault="00D80519" w:rsidP="00B15F8A">
      <w:pPr>
        <w:spacing w:after="0"/>
        <w:jc w:val="both"/>
        <w:rPr>
          <w:rFonts w:ascii="Times New Roman" w:hAnsi="Times New Roman" w:cs="Times New Roman"/>
          <w:b/>
          <w:bCs/>
        </w:rPr>
      </w:pPr>
      <w:r w:rsidRPr="00B15F8A">
        <w:rPr>
          <w:rFonts w:ascii="Times New Roman" w:hAnsi="Times New Roman" w:cs="Times New Roman"/>
          <w:b/>
          <w:bCs/>
        </w:rPr>
        <w:t>DOSSIER DE CANDIDATURE</w:t>
      </w:r>
    </w:p>
    <w:p w14:paraId="547537BB" w14:textId="77777777" w:rsidR="00D80519" w:rsidRPr="00B15F8A" w:rsidRDefault="00D80519" w:rsidP="00B15F8A">
      <w:pPr>
        <w:spacing w:after="0" w:line="240" w:lineRule="auto"/>
        <w:jc w:val="both"/>
        <w:rPr>
          <w:rFonts w:ascii="Times New Roman" w:eastAsia="Times New Roman" w:hAnsi="Times New Roman" w:cs="Times New Roman"/>
          <w:kern w:val="0"/>
          <w:lang w:eastAsia="fr-FR"/>
          <w14:ligatures w14:val="none"/>
        </w:rPr>
      </w:pPr>
      <w:r w:rsidRPr="00B15F8A">
        <w:rPr>
          <w:rFonts w:ascii="Times New Roman" w:eastAsia="Times New Roman" w:hAnsi="Times New Roman" w:cs="Times New Roman"/>
          <w:kern w:val="0"/>
          <w:lang w:eastAsia="fr-FR"/>
          <w14:ligatures w14:val="none"/>
        </w:rPr>
        <w:t>A soumettre dans un seul fichier :</w:t>
      </w:r>
    </w:p>
    <w:p w14:paraId="2FE7F42D" w14:textId="77777777" w:rsidR="00D80519" w:rsidRPr="00B15F8A" w:rsidRDefault="00D80519" w:rsidP="00B15F8A">
      <w:pPr>
        <w:numPr>
          <w:ilvl w:val="0"/>
          <w:numId w:val="8"/>
        </w:numPr>
        <w:spacing w:after="0" w:line="240" w:lineRule="auto"/>
        <w:contextualSpacing/>
        <w:jc w:val="both"/>
        <w:rPr>
          <w:rFonts w:ascii="Times New Roman" w:eastAsia="Times New Roman" w:hAnsi="Times New Roman" w:cs="Times New Roman"/>
          <w:kern w:val="0"/>
          <w:lang w:eastAsia="fr-FR"/>
          <w14:ligatures w14:val="none"/>
        </w:rPr>
      </w:pPr>
      <w:bookmarkStart w:id="5" w:name="_Hlk236303231"/>
      <w:r w:rsidRPr="00B15F8A">
        <w:rPr>
          <w:rFonts w:ascii="Times New Roman" w:eastAsia="Times New Roman" w:hAnsi="Times New Roman" w:cs="Times New Roman"/>
          <w:kern w:val="0"/>
          <w:lang w:eastAsia="fr-FR"/>
          <w14:ligatures w14:val="none"/>
        </w:rPr>
        <w:t>Une proposition technique présentant sa compréhension de la mission, décrivant sa méthodologie de travail et un calendrier prévisionnel</w:t>
      </w:r>
    </w:p>
    <w:p w14:paraId="708F23C2" w14:textId="77777777" w:rsidR="00D80519" w:rsidRPr="00B15F8A" w:rsidRDefault="00D80519" w:rsidP="00B15F8A">
      <w:pPr>
        <w:numPr>
          <w:ilvl w:val="0"/>
          <w:numId w:val="8"/>
        </w:numPr>
        <w:spacing w:after="0" w:line="240" w:lineRule="auto"/>
        <w:contextualSpacing/>
        <w:jc w:val="both"/>
        <w:rPr>
          <w:rFonts w:ascii="Times New Roman" w:eastAsia="Times New Roman" w:hAnsi="Times New Roman" w:cs="Times New Roman"/>
          <w:kern w:val="0"/>
          <w:lang w:eastAsia="fr-FR"/>
          <w14:ligatures w14:val="none"/>
        </w:rPr>
      </w:pPr>
      <w:bookmarkStart w:id="6" w:name="_Hlk236303243"/>
      <w:bookmarkEnd w:id="5"/>
      <w:r w:rsidRPr="00B15F8A">
        <w:rPr>
          <w:rFonts w:ascii="Times New Roman" w:eastAsia="Times New Roman" w:hAnsi="Times New Roman" w:cs="Times New Roman"/>
          <w:kern w:val="0"/>
          <w:lang w:eastAsia="fr-FR"/>
          <w14:ligatures w14:val="none"/>
        </w:rPr>
        <w:t>CV des experts de l’équipe proposée</w:t>
      </w:r>
    </w:p>
    <w:p w14:paraId="3E5BB945" w14:textId="77777777" w:rsidR="00D80519" w:rsidRPr="00B15F8A" w:rsidRDefault="00D80519" w:rsidP="00B15F8A">
      <w:pPr>
        <w:numPr>
          <w:ilvl w:val="0"/>
          <w:numId w:val="8"/>
        </w:numPr>
        <w:spacing w:after="0" w:line="240" w:lineRule="auto"/>
        <w:contextualSpacing/>
        <w:jc w:val="both"/>
        <w:rPr>
          <w:rFonts w:ascii="Times New Roman" w:eastAsia="Times New Roman" w:hAnsi="Times New Roman" w:cs="Times New Roman"/>
          <w:kern w:val="0"/>
          <w:lang w:eastAsia="fr-FR"/>
          <w14:ligatures w14:val="none"/>
        </w:rPr>
      </w:pPr>
      <w:bookmarkStart w:id="7" w:name="_Hlk236303261"/>
      <w:bookmarkEnd w:id="6"/>
      <w:r w:rsidRPr="00B15F8A">
        <w:rPr>
          <w:rFonts w:ascii="Times New Roman" w:eastAsia="Times New Roman" w:hAnsi="Times New Roman" w:cs="Times New Roman"/>
          <w:kern w:val="0"/>
          <w:lang w:eastAsia="fr-FR"/>
          <w14:ligatures w14:val="none"/>
        </w:rPr>
        <w:t>Un relevé d’expérience du bureau d’études</w:t>
      </w:r>
    </w:p>
    <w:p w14:paraId="5FDF6634" w14:textId="77777777" w:rsidR="00D80519" w:rsidRPr="00B15F8A" w:rsidRDefault="00D80519" w:rsidP="00B15F8A">
      <w:pPr>
        <w:numPr>
          <w:ilvl w:val="0"/>
          <w:numId w:val="8"/>
        </w:numPr>
        <w:spacing w:after="0" w:line="240" w:lineRule="auto"/>
        <w:contextualSpacing/>
        <w:jc w:val="both"/>
        <w:rPr>
          <w:rFonts w:ascii="Times New Roman" w:eastAsia="Times New Roman" w:hAnsi="Times New Roman" w:cs="Times New Roman"/>
          <w:kern w:val="0"/>
          <w:lang w:eastAsia="fr-FR"/>
          <w14:ligatures w14:val="none"/>
        </w:rPr>
      </w:pPr>
      <w:bookmarkStart w:id="8" w:name="_Hlk236303276"/>
      <w:bookmarkEnd w:id="7"/>
      <w:r w:rsidRPr="00B15F8A">
        <w:rPr>
          <w:rFonts w:ascii="Times New Roman" w:eastAsia="Times New Roman" w:hAnsi="Times New Roman" w:cs="Times New Roman"/>
          <w:kern w:val="0"/>
          <w:lang w:eastAsia="fr-FR"/>
          <w14:ligatures w14:val="none"/>
        </w:rPr>
        <w:t>Une proposition financière forfaitaire, incluant l’ensemble de la prestation ainsi que tous les frais y afférents</w:t>
      </w:r>
    </w:p>
    <w:bookmarkEnd w:id="8"/>
    <w:p w14:paraId="2D59619D" w14:textId="77777777" w:rsidR="00185C8F" w:rsidRPr="00B15F8A" w:rsidRDefault="00185C8F" w:rsidP="00B15F8A">
      <w:pPr>
        <w:jc w:val="both"/>
        <w:rPr>
          <w:rFonts w:ascii="Times New Roman" w:hAnsi="Times New Roman" w:cs="Times New Roman"/>
        </w:rPr>
      </w:pPr>
    </w:p>
    <w:sectPr w:rsidR="00185C8F" w:rsidRPr="00B15F8A">
      <w:footerReference w:type="even"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79DF6" w14:textId="77777777" w:rsidR="00414179" w:rsidRDefault="00414179" w:rsidP="00A940A3">
      <w:pPr>
        <w:spacing w:after="0" w:line="240" w:lineRule="auto"/>
      </w:pPr>
      <w:r>
        <w:separator/>
      </w:r>
    </w:p>
  </w:endnote>
  <w:endnote w:type="continuationSeparator" w:id="0">
    <w:p w14:paraId="13B4EFBB" w14:textId="77777777" w:rsidR="00414179" w:rsidRDefault="00414179" w:rsidP="00A94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206688376"/>
      <w:docPartObj>
        <w:docPartGallery w:val="Page Numbers (Bottom of Page)"/>
        <w:docPartUnique/>
      </w:docPartObj>
    </w:sdtPr>
    <w:sdtContent>
      <w:p w14:paraId="7C3C90B6" w14:textId="77777777" w:rsidR="00A940A3" w:rsidRDefault="00A940A3" w:rsidP="00225185">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3A888995" w14:textId="77777777" w:rsidR="00A940A3" w:rsidRDefault="00A940A3" w:rsidP="00A940A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457952210"/>
      <w:docPartObj>
        <w:docPartGallery w:val="Page Numbers (Bottom of Page)"/>
        <w:docPartUnique/>
      </w:docPartObj>
    </w:sdtPr>
    <w:sdtContent>
      <w:p w14:paraId="287BABB7" w14:textId="77777777" w:rsidR="00A940A3" w:rsidRDefault="00A940A3" w:rsidP="00225185">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sidR="001E20EB">
          <w:rPr>
            <w:rStyle w:val="Numrodepage"/>
            <w:noProof/>
          </w:rPr>
          <w:t>7</w:t>
        </w:r>
        <w:r>
          <w:rPr>
            <w:rStyle w:val="Numrodepage"/>
          </w:rPr>
          <w:fldChar w:fldCharType="end"/>
        </w:r>
      </w:p>
    </w:sdtContent>
  </w:sdt>
  <w:p w14:paraId="2B7762A0" w14:textId="77777777" w:rsidR="00A940A3" w:rsidRDefault="00A940A3" w:rsidP="00A940A3">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0FC86" w14:textId="77777777" w:rsidR="00414179" w:rsidRDefault="00414179" w:rsidP="00A940A3">
      <w:pPr>
        <w:spacing w:after="0" w:line="240" w:lineRule="auto"/>
      </w:pPr>
      <w:r>
        <w:separator/>
      </w:r>
    </w:p>
  </w:footnote>
  <w:footnote w:type="continuationSeparator" w:id="0">
    <w:p w14:paraId="2F864D43" w14:textId="77777777" w:rsidR="00414179" w:rsidRDefault="00414179" w:rsidP="00A940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5505"/>
    <w:multiLevelType w:val="multilevel"/>
    <w:tmpl w:val="B04CE08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453726"/>
    <w:multiLevelType w:val="hybridMultilevel"/>
    <w:tmpl w:val="F5A2E5A4"/>
    <w:lvl w:ilvl="0" w:tplc="340C0003">
      <w:start w:val="1"/>
      <w:numFmt w:val="bullet"/>
      <w:lvlText w:val="o"/>
      <w:lvlJc w:val="left"/>
      <w:pPr>
        <w:ind w:left="1080" w:hanging="360"/>
      </w:pPr>
      <w:rPr>
        <w:rFonts w:ascii="Courier New" w:hAnsi="Courier New" w:cs="Courier New" w:hint="default"/>
      </w:rPr>
    </w:lvl>
    <w:lvl w:ilvl="1" w:tplc="340C0003" w:tentative="1">
      <w:start w:val="1"/>
      <w:numFmt w:val="bullet"/>
      <w:lvlText w:val="o"/>
      <w:lvlJc w:val="left"/>
      <w:pPr>
        <w:ind w:left="1800" w:hanging="360"/>
      </w:pPr>
      <w:rPr>
        <w:rFonts w:ascii="Courier New" w:hAnsi="Courier New" w:cs="Courier New" w:hint="default"/>
      </w:rPr>
    </w:lvl>
    <w:lvl w:ilvl="2" w:tplc="340C0005" w:tentative="1">
      <w:start w:val="1"/>
      <w:numFmt w:val="bullet"/>
      <w:lvlText w:val=""/>
      <w:lvlJc w:val="left"/>
      <w:pPr>
        <w:ind w:left="2520" w:hanging="360"/>
      </w:pPr>
      <w:rPr>
        <w:rFonts w:ascii="Wingdings" w:hAnsi="Wingdings" w:hint="default"/>
      </w:rPr>
    </w:lvl>
    <w:lvl w:ilvl="3" w:tplc="340C0001" w:tentative="1">
      <w:start w:val="1"/>
      <w:numFmt w:val="bullet"/>
      <w:lvlText w:val=""/>
      <w:lvlJc w:val="left"/>
      <w:pPr>
        <w:ind w:left="3240" w:hanging="360"/>
      </w:pPr>
      <w:rPr>
        <w:rFonts w:ascii="Symbol" w:hAnsi="Symbol" w:hint="default"/>
      </w:rPr>
    </w:lvl>
    <w:lvl w:ilvl="4" w:tplc="340C0003" w:tentative="1">
      <w:start w:val="1"/>
      <w:numFmt w:val="bullet"/>
      <w:lvlText w:val="o"/>
      <w:lvlJc w:val="left"/>
      <w:pPr>
        <w:ind w:left="3960" w:hanging="360"/>
      </w:pPr>
      <w:rPr>
        <w:rFonts w:ascii="Courier New" w:hAnsi="Courier New" w:cs="Courier New" w:hint="default"/>
      </w:rPr>
    </w:lvl>
    <w:lvl w:ilvl="5" w:tplc="340C0005" w:tentative="1">
      <w:start w:val="1"/>
      <w:numFmt w:val="bullet"/>
      <w:lvlText w:val=""/>
      <w:lvlJc w:val="left"/>
      <w:pPr>
        <w:ind w:left="4680" w:hanging="360"/>
      </w:pPr>
      <w:rPr>
        <w:rFonts w:ascii="Wingdings" w:hAnsi="Wingdings" w:hint="default"/>
      </w:rPr>
    </w:lvl>
    <w:lvl w:ilvl="6" w:tplc="340C0001" w:tentative="1">
      <w:start w:val="1"/>
      <w:numFmt w:val="bullet"/>
      <w:lvlText w:val=""/>
      <w:lvlJc w:val="left"/>
      <w:pPr>
        <w:ind w:left="5400" w:hanging="360"/>
      </w:pPr>
      <w:rPr>
        <w:rFonts w:ascii="Symbol" w:hAnsi="Symbol" w:hint="default"/>
      </w:rPr>
    </w:lvl>
    <w:lvl w:ilvl="7" w:tplc="340C0003" w:tentative="1">
      <w:start w:val="1"/>
      <w:numFmt w:val="bullet"/>
      <w:lvlText w:val="o"/>
      <w:lvlJc w:val="left"/>
      <w:pPr>
        <w:ind w:left="6120" w:hanging="360"/>
      </w:pPr>
      <w:rPr>
        <w:rFonts w:ascii="Courier New" w:hAnsi="Courier New" w:cs="Courier New" w:hint="default"/>
      </w:rPr>
    </w:lvl>
    <w:lvl w:ilvl="8" w:tplc="340C0005" w:tentative="1">
      <w:start w:val="1"/>
      <w:numFmt w:val="bullet"/>
      <w:lvlText w:val=""/>
      <w:lvlJc w:val="left"/>
      <w:pPr>
        <w:ind w:left="6840" w:hanging="360"/>
      </w:pPr>
      <w:rPr>
        <w:rFonts w:ascii="Wingdings" w:hAnsi="Wingdings" w:hint="default"/>
      </w:rPr>
    </w:lvl>
  </w:abstractNum>
  <w:abstractNum w:abstractNumId="2" w15:restartNumberingAfterBreak="0">
    <w:nsid w:val="075B5AF7"/>
    <w:multiLevelType w:val="hybridMultilevel"/>
    <w:tmpl w:val="942833C8"/>
    <w:lvl w:ilvl="0" w:tplc="D5DA85D4">
      <w:start w:val="1"/>
      <w:numFmt w:val="decimal"/>
      <w:lvlText w:val="%1."/>
      <w:lvlJc w:val="left"/>
      <w:pPr>
        <w:ind w:left="720" w:hanging="360"/>
      </w:pPr>
      <w:rPr>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B66A26"/>
    <w:multiLevelType w:val="hybridMultilevel"/>
    <w:tmpl w:val="1E26EEBA"/>
    <w:lvl w:ilvl="0" w:tplc="D738290E">
      <w:start w:val="1"/>
      <w:numFmt w:val="upperRoman"/>
      <w:lvlText w:val="%1."/>
      <w:lvlJc w:val="right"/>
      <w:pPr>
        <w:tabs>
          <w:tab w:val="num" w:pos="720"/>
        </w:tabs>
        <w:ind w:left="720" w:hanging="180"/>
      </w:pPr>
      <w:rPr>
        <w:rFonts w:ascii="Times New Roman" w:hAnsi="Times New Roman" w:cs="Times New Roman" w:hint="default"/>
        <w:b/>
        <w:i w:val="0"/>
        <w:sz w:val="24"/>
        <w:szCs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16975E8C"/>
    <w:multiLevelType w:val="multilevel"/>
    <w:tmpl w:val="DC96E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C6725E"/>
    <w:multiLevelType w:val="hybridMultilevel"/>
    <w:tmpl w:val="C3901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92EF4"/>
    <w:multiLevelType w:val="hybridMultilevel"/>
    <w:tmpl w:val="086A0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E4358"/>
    <w:multiLevelType w:val="hybridMultilevel"/>
    <w:tmpl w:val="9D5083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5C7373"/>
    <w:multiLevelType w:val="hybridMultilevel"/>
    <w:tmpl w:val="8EB88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B0C67"/>
    <w:multiLevelType w:val="hybridMultilevel"/>
    <w:tmpl w:val="F07A24E4"/>
    <w:lvl w:ilvl="0" w:tplc="B9988E70">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FAEFEE4">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98BF66">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DAF33E">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ECC83A">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FC4946">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9984C9C">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1A99CE">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2E6BEC">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9157A70"/>
    <w:multiLevelType w:val="hybridMultilevel"/>
    <w:tmpl w:val="D71CF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23835"/>
    <w:multiLevelType w:val="multilevel"/>
    <w:tmpl w:val="21563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E901D8"/>
    <w:multiLevelType w:val="multilevel"/>
    <w:tmpl w:val="BFB40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841FFA"/>
    <w:multiLevelType w:val="hybridMultilevel"/>
    <w:tmpl w:val="831E820C"/>
    <w:lvl w:ilvl="0" w:tplc="987E9B34">
      <w:start w:val="1"/>
      <w:numFmt w:val="bullet"/>
      <w:lvlText w:val="-"/>
      <w:lvlJc w:val="left"/>
      <w:pPr>
        <w:ind w:left="720" w:hanging="360"/>
      </w:pPr>
      <w:rPr>
        <w:rFonts w:ascii="Times New Roman" w:eastAsia="Times New Roman" w:hAnsi="Times New Roman" w:cs="Times New Roman"/>
        <w:b w:val="0"/>
        <w:i w:val="0"/>
        <w:strike w:val="0"/>
        <w:dstrike w:val="0"/>
        <w:color w:val="EE0000"/>
        <w:sz w:val="24"/>
        <w:szCs w:val="24"/>
        <w:u w:val="none" w:color="000000"/>
        <w:bdr w:val="none" w:sz="0" w:space="0" w:color="auto"/>
        <w:shd w:val="clear" w:color="auto" w:fill="auto"/>
        <w:vertAlign w:val="baseline"/>
      </w:rPr>
    </w:lvl>
    <w:lvl w:ilvl="1" w:tplc="340C0003" w:tentative="1">
      <w:start w:val="1"/>
      <w:numFmt w:val="bullet"/>
      <w:lvlText w:val="o"/>
      <w:lvlJc w:val="left"/>
      <w:pPr>
        <w:ind w:left="1440" w:hanging="360"/>
      </w:pPr>
      <w:rPr>
        <w:rFonts w:ascii="Courier New" w:hAnsi="Courier New" w:cs="Courier New" w:hint="default"/>
      </w:rPr>
    </w:lvl>
    <w:lvl w:ilvl="2" w:tplc="340C0005" w:tentative="1">
      <w:start w:val="1"/>
      <w:numFmt w:val="bullet"/>
      <w:lvlText w:val=""/>
      <w:lvlJc w:val="left"/>
      <w:pPr>
        <w:ind w:left="2160" w:hanging="360"/>
      </w:pPr>
      <w:rPr>
        <w:rFonts w:ascii="Wingdings" w:hAnsi="Wingdings" w:hint="default"/>
      </w:rPr>
    </w:lvl>
    <w:lvl w:ilvl="3" w:tplc="340C0001" w:tentative="1">
      <w:start w:val="1"/>
      <w:numFmt w:val="bullet"/>
      <w:lvlText w:val=""/>
      <w:lvlJc w:val="left"/>
      <w:pPr>
        <w:ind w:left="2880" w:hanging="360"/>
      </w:pPr>
      <w:rPr>
        <w:rFonts w:ascii="Symbol" w:hAnsi="Symbol" w:hint="default"/>
      </w:rPr>
    </w:lvl>
    <w:lvl w:ilvl="4" w:tplc="340C0003" w:tentative="1">
      <w:start w:val="1"/>
      <w:numFmt w:val="bullet"/>
      <w:lvlText w:val="o"/>
      <w:lvlJc w:val="left"/>
      <w:pPr>
        <w:ind w:left="3600" w:hanging="360"/>
      </w:pPr>
      <w:rPr>
        <w:rFonts w:ascii="Courier New" w:hAnsi="Courier New" w:cs="Courier New" w:hint="default"/>
      </w:rPr>
    </w:lvl>
    <w:lvl w:ilvl="5" w:tplc="340C0005" w:tentative="1">
      <w:start w:val="1"/>
      <w:numFmt w:val="bullet"/>
      <w:lvlText w:val=""/>
      <w:lvlJc w:val="left"/>
      <w:pPr>
        <w:ind w:left="4320" w:hanging="360"/>
      </w:pPr>
      <w:rPr>
        <w:rFonts w:ascii="Wingdings" w:hAnsi="Wingdings" w:hint="default"/>
      </w:rPr>
    </w:lvl>
    <w:lvl w:ilvl="6" w:tplc="340C0001" w:tentative="1">
      <w:start w:val="1"/>
      <w:numFmt w:val="bullet"/>
      <w:lvlText w:val=""/>
      <w:lvlJc w:val="left"/>
      <w:pPr>
        <w:ind w:left="5040" w:hanging="360"/>
      </w:pPr>
      <w:rPr>
        <w:rFonts w:ascii="Symbol" w:hAnsi="Symbol" w:hint="default"/>
      </w:rPr>
    </w:lvl>
    <w:lvl w:ilvl="7" w:tplc="340C0003" w:tentative="1">
      <w:start w:val="1"/>
      <w:numFmt w:val="bullet"/>
      <w:lvlText w:val="o"/>
      <w:lvlJc w:val="left"/>
      <w:pPr>
        <w:ind w:left="5760" w:hanging="360"/>
      </w:pPr>
      <w:rPr>
        <w:rFonts w:ascii="Courier New" w:hAnsi="Courier New" w:cs="Courier New" w:hint="default"/>
      </w:rPr>
    </w:lvl>
    <w:lvl w:ilvl="8" w:tplc="340C0005" w:tentative="1">
      <w:start w:val="1"/>
      <w:numFmt w:val="bullet"/>
      <w:lvlText w:val=""/>
      <w:lvlJc w:val="left"/>
      <w:pPr>
        <w:ind w:left="6480" w:hanging="360"/>
      </w:pPr>
      <w:rPr>
        <w:rFonts w:ascii="Wingdings" w:hAnsi="Wingdings" w:hint="default"/>
      </w:rPr>
    </w:lvl>
  </w:abstractNum>
  <w:abstractNum w:abstractNumId="14" w15:restartNumberingAfterBreak="0">
    <w:nsid w:val="6CAC413D"/>
    <w:multiLevelType w:val="hybridMultilevel"/>
    <w:tmpl w:val="21BA577C"/>
    <w:lvl w:ilvl="0" w:tplc="EDAA36A4">
      <w:numFmt w:val="bullet"/>
      <w:lvlText w:val="-"/>
      <w:lvlJc w:val="left"/>
      <w:pPr>
        <w:ind w:left="720" w:hanging="360"/>
      </w:pPr>
      <w:rPr>
        <w:rFonts w:ascii="Calibri" w:eastAsia="Times" w:hAnsi="Calibri" w:cs="Times New Roman" w:hint="default"/>
      </w:rPr>
    </w:lvl>
    <w:lvl w:ilvl="1" w:tplc="340C0003" w:tentative="1">
      <w:start w:val="1"/>
      <w:numFmt w:val="bullet"/>
      <w:lvlText w:val="o"/>
      <w:lvlJc w:val="left"/>
      <w:pPr>
        <w:ind w:left="1440" w:hanging="360"/>
      </w:pPr>
      <w:rPr>
        <w:rFonts w:ascii="Courier New" w:hAnsi="Courier New" w:cs="Courier New" w:hint="default"/>
      </w:rPr>
    </w:lvl>
    <w:lvl w:ilvl="2" w:tplc="340C0005" w:tentative="1">
      <w:start w:val="1"/>
      <w:numFmt w:val="bullet"/>
      <w:lvlText w:val=""/>
      <w:lvlJc w:val="left"/>
      <w:pPr>
        <w:ind w:left="2160" w:hanging="360"/>
      </w:pPr>
      <w:rPr>
        <w:rFonts w:ascii="Wingdings" w:hAnsi="Wingdings" w:hint="default"/>
      </w:rPr>
    </w:lvl>
    <w:lvl w:ilvl="3" w:tplc="340C0001" w:tentative="1">
      <w:start w:val="1"/>
      <w:numFmt w:val="bullet"/>
      <w:lvlText w:val=""/>
      <w:lvlJc w:val="left"/>
      <w:pPr>
        <w:ind w:left="2880" w:hanging="360"/>
      </w:pPr>
      <w:rPr>
        <w:rFonts w:ascii="Symbol" w:hAnsi="Symbol" w:hint="default"/>
      </w:rPr>
    </w:lvl>
    <w:lvl w:ilvl="4" w:tplc="340C0003" w:tentative="1">
      <w:start w:val="1"/>
      <w:numFmt w:val="bullet"/>
      <w:lvlText w:val="o"/>
      <w:lvlJc w:val="left"/>
      <w:pPr>
        <w:ind w:left="3600" w:hanging="360"/>
      </w:pPr>
      <w:rPr>
        <w:rFonts w:ascii="Courier New" w:hAnsi="Courier New" w:cs="Courier New" w:hint="default"/>
      </w:rPr>
    </w:lvl>
    <w:lvl w:ilvl="5" w:tplc="340C0005" w:tentative="1">
      <w:start w:val="1"/>
      <w:numFmt w:val="bullet"/>
      <w:lvlText w:val=""/>
      <w:lvlJc w:val="left"/>
      <w:pPr>
        <w:ind w:left="4320" w:hanging="360"/>
      </w:pPr>
      <w:rPr>
        <w:rFonts w:ascii="Wingdings" w:hAnsi="Wingdings" w:hint="default"/>
      </w:rPr>
    </w:lvl>
    <w:lvl w:ilvl="6" w:tplc="340C0001" w:tentative="1">
      <w:start w:val="1"/>
      <w:numFmt w:val="bullet"/>
      <w:lvlText w:val=""/>
      <w:lvlJc w:val="left"/>
      <w:pPr>
        <w:ind w:left="5040" w:hanging="360"/>
      </w:pPr>
      <w:rPr>
        <w:rFonts w:ascii="Symbol" w:hAnsi="Symbol" w:hint="default"/>
      </w:rPr>
    </w:lvl>
    <w:lvl w:ilvl="7" w:tplc="340C0003" w:tentative="1">
      <w:start w:val="1"/>
      <w:numFmt w:val="bullet"/>
      <w:lvlText w:val="o"/>
      <w:lvlJc w:val="left"/>
      <w:pPr>
        <w:ind w:left="5760" w:hanging="360"/>
      </w:pPr>
      <w:rPr>
        <w:rFonts w:ascii="Courier New" w:hAnsi="Courier New" w:cs="Courier New" w:hint="default"/>
      </w:rPr>
    </w:lvl>
    <w:lvl w:ilvl="8" w:tplc="340C0005" w:tentative="1">
      <w:start w:val="1"/>
      <w:numFmt w:val="bullet"/>
      <w:lvlText w:val=""/>
      <w:lvlJc w:val="left"/>
      <w:pPr>
        <w:ind w:left="6480" w:hanging="360"/>
      </w:pPr>
      <w:rPr>
        <w:rFonts w:ascii="Wingdings" w:hAnsi="Wingdings" w:hint="default"/>
      </w:rPr>
    </w:lvl>
  </w:abstractNum>
  <w:abstractNum w:abstractNumId="15" w15:restartNumberingAfterBreak="0">
    <w:nsid w:val="74732B42"/>
    <w:multiLevelType w:val="hybridMultilevel"/>
    <w:tmpl w:val="C00C2660"/>
    <w:lvl w:ilvl="0" w:tplc="C20A74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F86D4B"/>
    <w:multiLevelType w:val="multilevel"/>
    <w:tmpl w:val="25CE9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8C6AEA"/>
    <w:multiLevelType w:val="hybridMultilevel"/>
    <w:tmpl w:val="5A5CDB72"/>
    <w:lvl w:ilvl="0" w:tplc="9034814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390C9D"/>
    <w:multiLevelType w:val="hybridMultilevel"/>
    <w:tmpl w:val="8D428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2433708">
    <w:abstractNumId w:val="18"/>
  </w:num>
  <w:num w:numId="2" w16cid:durableId="1851991013">
    <w:abstractNumId w:val="8"/>
  </w:num>
  <w:num w:numId="3" w16cid:durableId="47268931">
    <w:abstractNumId w:val="5"/>
  </w:num>
  <w:num w:numId="4" w16cid:durableId="466095280">
    <w:abstractNumId w:val="10"/>
  </w:num>
  <w:num w:numId="5" w16cid:durableId="490412852">
    <w:abstractNumId w:val="3"/>
  </w:num>
  <w:num w:numId="6" w16cid:durableId="1002466057">
    <w:abstractNumId w:val="15"/>
  </w:num>
  <w:num w:numId="7" w16cid:durableId="654653222">
    <w:abstractNumId w:val="9"/>
  </w:num>
  <w:num w:numId="8" w16cid:durableId="1794985137">
    <w:abstractNumId w:val="17"/>
  </w:num>
  <w:num w:numId="9" w16cid:durableId="379091860">
    <w:abstractNumId w:val="1"/>
  </w:num>
  <w:num w:numId="10" w16cid:durableId="1157183351">
    <w:abstractNumId w:val="13"/>
  </w:num>
  <w:num w:numId="11" w16cid:durableId="26180009">
    <w:abstractNumId w:val="14"/>
  </w:num>
  <w:num w:numId="12" w16cid:durableId="1124885495">
    <w:abstractNumId w:val="2"/>
  </w:num>
  <w:num w:numId="13" w16cid:durableId="220023549">
    <w:abstractNumId w:val="6"/>
  </w:num>
  <w:num w:numId="14" w16cid:durableId="1352760756">
    <w:abstractNumId w:val="4"/>
  </w:num>
  <w:num w:numId="15" w16cid:durableId="27492016">
    <w:abstractNumId w:val="11"/>
  </w:num>
  <w:num w:numId="16" w16cid:durableId="920992221">
    <w:abstractNumId w:val="0"/>
  </w:num>
  <w:num w:numId="17" w16cid:durableId="1579050576">
    <w:abstractNumId w:val="12"/>
  </w:num>
  <w:num w:numId="18" w16cid:durableId="2074506080">
    <w:abstractNumId w:val="16"/>
  </w:num>
  <w:num w:numId="19" w16cid:durableId="5349272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E48"/>
    <w:rsid w:val="000226BD"/>
    <w:rsid w:val="000535CB"/>
    <w:rsid w:val="000835F7"/>
    <w:rsid w:val="00085885"/>
    <w:rsid w:val="000D1817"/>
    <w:rsid w:val="00105029"/>
    <w:rsid w:val="001067C6"/>
    <w:rsid w:val="001411E7"/>
    <w:rsid w:val="001502A3"/>
    <w:rsid w:val="00185C8F"/>
    <w:rsid w:val="001C4CD3"/>
    <w:rsid w:val="001D1375"/>
    <w:rsid w:val="001E20EB"/>
    <w:rsid w:val="002240E7"/>
    <w:rsid w:val="00245C79"/>
    <w:rsid w:val="0026531A"/>
    <w:rsid w:val="00275049"/>
    <w:rsid w:val="002763FD"/>
    <w:rsid w:val="002A7888"/>
    <w:rsid w:val="002E4E10"/>
    <w:rsid w:val="002F2B84"/>
    <w:rsid w:val="00331F1C"/>
    <w:rsid w:val="003557AA"/>
    <w:rsid w:val="003B017D"/>
    <w:rsid w:val="00402A51"/>
    <w:rsid w:val="00402ABF"/>
    <w:rsid w:val="00414179"/>
    <w:rsid w:val="00433A0C"/>
    <w:rsid w:val="0049109A"/>
    <w:rsid w:val="004A6E97"/>
    <w:rsid w:val="004F5DF2"/>
    <w:rsid w:val="004F7E53"/>
    <w:rsid w:val="0054464A"/>
    <w:rsid w:val="00572935"/>
    <w:rsid w:val="0059480F"/>
    <w:rsid w:val="00596862"/>
    <w:rsid w:val="005E0E48"/>
    <w:rsid w:val="0066235E"/>
    <w:rsid w:val="00680AAF"/>
    <w:rsid w:val="00681CEB"/>
    <w:rsid w:val="006B0FEB"/>
    <w:rsid w:val="006B6E33"/>
    <w:rsid w:val="006C034F"/>
    <w:rsid w:val="006C26B4"/>
    <w:rsid w:val="006D6039"/>
    <w:rsid w:val="00717185"/>
    <w:rsid w:val="00730D73"/>
    <w:rsid w:val="007551A8"/>
    <w:rsid w:val="007605F7"/>
    <w:rsid w:val="008364F7"/>
    <w:rsid w:val="008B060E"/>
    <w:rsid w:val="00964C6C"/>
    <w:rsid w:val="00966082"/>
    <w:rsid w:val="00975ACD"/>
    <w:rsid w:val="00980CF1"/>
    <w:rsid w:val="009B77D6"/>
    <w:rsid w:val="009E58A0"/>
    <w:rsid w:val="009F27D9"/>
    <w:rsid w:val="00A77603"/>
    <w:rsid w:val="00A927D2"/>
    <w:rsid w:val="00A940A3"/>
    <w:rsid w:val="00AC4722"/>
    <w:rsid w:val="00AD3C2A"/>
    <w:rsid w:val="00AE3A2C"/>
    <w:rsid w:val="00AE563B"/>
    <w:rsid w:val="00AE6032"/>
    <w:rsid w:val="00B07589"/>
    <w:rsid w:val="00B15F8A"/>
    <w:rsid w:val="00B80636"/>
    <w:rsid w:val="00BA38E2"/>
    <w:rsid w:val="00BB471C"/>
    <w:rsid w:val="00BD5871"/>
    <w:rsid w:val="00BE6FFA"/>
    <w:rsid w:val="00C00790"/>
    <w:rsid w:val="00C04E80"/>
    <w:rsid w:val="00C513CA"/>
    <w:rsid w:val="00C53685"/>
    <w:rsid w:val="00C66E4C"/>
    <w:rsid w:val="00CB5743"/>
    <w:rsid w:val="00CC5B84"/>
    <w:rsid w:val="00D33F65"/>
    <w:rsid w:val="00D35BD4"/>
    <w:rsid w:val="00D64A17"/>
    <w:rsid w:val="00D80519"/>
    <w:rsid w:val="00DB61DE"/>
    <w:rsid w:val="00DE7D2A"/>
    <w:rsid w:val="00DF1546"/>
    <w:rsid w:val="00DF4863"/>
    <w:rsid w:val="00DF4883"/>
    <w:rsid w:val="00E446DD"/>
    <w:rsid w:val="00E84F90"/>
    <w:rsid w:val="00F849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3BB5C"/>
  <w15:chartTrackingRefBased/>
  <w15:docId w15:val="{14202242-A388-3F4D-A895-5BC052A04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E0E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E0E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E0E48"/>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E0E48"/>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E0E48"/>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E0E48"/>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E0E48"/>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E0E48"/>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E0E48"/>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E0E48"/>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5E0E48"/>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5E0E48"/>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E0E4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E0E4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E0E4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E0E4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E0E4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E0E48"/>
    <w:rPr>
      <w:rFonts w:eastAsiaTheme="majorEastAsia" w:cstheme="majorBidi"/>
      <w:color w:val="272727" w:themeColor="text1" w:themeTint="D8"/>
    </w:rPr>
  </w:style>
  <w:style w:type="paragraph" w:styleId="Titre">
    <w:name w:val="Title"/>
    <w:basedOn w:val="Normal"/>
    <w:next w:val="Normal"/>
    <w:link w:val="TitreCar"/>
    <w:uiPriority w:val="10"/>
    <w:qFormat/>
    <w:rsid w:val="005E0E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E0E4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E0E4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E0E4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E0E48"/>
    <w:pPr>
      <w:spacing w:before="160"/>
      <w:jc w:val="center"/>
    </w:pPr>
    <w:rPr>
      <w:i/>
      <w:iCs/>
      <w:color w:val="404040" w:themeColor="text1" w:themeTint="BF"/>
    </w:rPr>
  </w:style>
  <w:style w:type="character" w:customStyle="1" w:styleId="CitationCar">
    <w:name w:val="Citation Car"/>
    <w:basedOn w:val="Policepardfaut"/>
    <w:link w:val="Citation"/>
    <w:uiPriority w:val="29"/>
    <w:rsid w:val="005E0E48"/>
    <w:rPr>
      <w:i/>
      <w:iCs/>
      <w:color w:val="404040" w:themeColor="text1" w:themeTint="BF"/>
    </w:rPr>
  </w:style>
  <w:style w:type="paragraph" w:styleId="Paragraphedeliste">
    <w:name w:val="List Paragraph"/>
    <w:aliases w:val="List Paragraph (numbered (a)),Yellow Bullet,Normal bullet 2,Paragraph,Bullets,Indent Paragraph,Lettre d'introduction,Paragraphe de liste PBLH,Graph &amp; Table tite,Bullet Points,Liste Paragraf,Llista Nivell1,Lista de nivel 1,References"/>
    <w:basedOn w:val="Normal"/>
    <w:link w:val="ParagraphedelisteCar"/>
    <w:uiPriority w:val="34"/>
    <w:qFormat/>
    <w:rsid w:val="005E0E48"/>
    <w:pPr>
      <w:ind w:left="720"/>
      <w:contextualSpacing/>
    </w:pPr>
  </w:style>
  <w:style w:type="character" w:styleId="Accentuationintense">
    <w:name w:val="Intense Emphasis"/>
    <w:basedOn w:val="Policepardfaut"/>
    <w:uiPriority w:val="21"/>
    <w:qFormat/>
    <w:rsid w:val="005E0E48"/>
    <w:rPr>
      <w:i/>
      <w:iCs/>
      <w:color w:val="0F4761" w:themeColor="accent1" w:themeShade="BF"/>
    </w:rPr>
  </w:style>
  <w:style w:type="paragraph" w:styleId="Citationintense">
    <w:name w:val="Intense Quote"/>
    <w:basedOn w:val="Normal"/>
    <w:next w:val="Normal"/>
    <w:link w:val="CitationintenseCar"/>
    <w:uiPriority w:val="30"/>
    <w:qFormat/>
    <w:rsid w:val="005E0E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E0E48"/>
    <w:rPr>
      <w:i/>
      <w:iCs/>
      <w:color w:val="0F4761" w:themeColor="accent1" w:themeShade="BF"/>
    </w:rPr>
  </w:style>
  <w:style w:type="character" w:styleId="Rfrenceintense">
    <w:name w:val="Intense Reference"/>
    <w:basedOn w:val="Policepardfaut"/>
    <w:uiPriority w:val="32"/>
    <w:qFormat/>
    <w:rsid w:val="005E0E48"/>
    <w:rPr>
      <w:b/>
      <w:bCs/>
      <w:smallCaps/>
      <w:color w:val="0F4761" w:themeColor="accent1" w:themeShade="BF"/>
      <w:spacing w:val="5"/>
    </w:rPr>
  </w:style>
  <w:style w:type="paragraph" w:styleId="Pieddepage">
    <w:name w:val="footer"/>
    <w:basedOn w:val="Normal"/>
    <w:link w:val="PieddepageCar"/>
    <w:uiPriority w:val="99"/>
    <w:unhideWhenUsed/>
    <w:rsid w:val="00A940A3"/>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A940A3"/>
  </w:style>
  <w:style w:type="character" w:styleId="Numrodepage">
    <w:name w:val="page number"/>
    <w:basedOn w:val="Policepardfaut"/>
    <w:uiPriority w:val="99"/>
    <w:semiHidden/>
    <w:unhideWhenUsed/>
    <w:rsid w:val="00A940A3"/>
  </w:style>
  <w:style w:type="character" w:styleId="Marquedecommentaire">
    <w:name w:val="annotation reference"/>
    <w:basedOn w:val="Policepardfaut"/>
    <w:uiPriority w:val="99"/>
    <w:semiHidden/>
    <w:unhideWhenUsed/>
    <w:rsid w:val="006D6039"/>
    <w:rPr>
      <w:sz w:val="16"/>
      <w:szCs w:val="16"/>
    </w:rPr>
  </w:style>
  <w:style w:type="paragraph" w:styleId="Commentaire">
    <w:name w:val="annotation text"/>
    <w:basedOn w:val="Normal"/>
    <w:link w:val="CommentaireCar"/>
    <w:uiPriority w:val="99"/>
    <w:unhideWhenUsed/>
    <w:rsid w:val="006D6039"/>
    <w:pPr>
      <w:spacing w:line="240" w:lineRule="auto"/>
    </w:pPr>
    <w:rPr>
      <w:sz w:val="20"/>
      <w:szCs w:val="20"/>
    </w:rPr>
  </w:style>
  <w:style w:type="character" w:customStyle="1" w:styleId="CommentaireCar">
    <w:name w:val="Commentaire Car"/>
    <w:basedOn w:val="Policepardfaut"/>
    <w:link w:val="Commentaire"/>
    <w:uiPriority w:val="99"/>
    <w:rsid w:val="006D6039"/>
    <w:rPr>
      <w:sz w:val="20"/>
      <w:szCs w:val="20"/>
    </w:rPr>
  </w:style>
  <w:style w:type="paragraph" w:styleId="Objetducommentaire">
    <w:name w:val="annotation subject"/>
    <w:basedOn w:val="Commentaire"/>
    <w:next w:val="Commentaire"/>
    <w:link w:val="ObjetducommentaireCar"/>
    <w:uiPriority w:val="99"/>
    <w:semiHidden/>
    <w:unhideWhenUsed/>
    <w:rsid w:val="006D6039"/>
    <w:rPr>
      <w:b/>
      <w:bCs/>
    </w:rPr>
  </w:style>
  <w:style w:type="character" w:customStyle="1" w:styleId="ObjetducommentaireCar">
    <w:name w:val="Objet du commentaire Car"/>
    <w:basedOn w:val="CommentaireCar"/>
    <w:link w:val="Objetducommentaire"/>
    <w:uiPriority w:val="99"/>
    <w:semiHidden/>
    <w:rsid w:val="006D6039"/>
    <w:rPr>
      <w:b/>
      <w:bCs/>
      <w:sz w:val="20"/>
      <w:szCs w:val="20"/>
    </w:rPr>
  </w:style>
  <w:style w:type="paragraph" w:styleId="Textedebulles">
    <w:name w:val="Balloon Text"/>
    <w:basedOn w:val="Normal"/>
    <w:link w:val="TextedebullesCar"/>
    <w:uiPriority w:val="99"/>
    <w:semiHidden/>
    <w:unhideWhenUsed/>
    <w:rsid w:val="006D603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D6039"/>
    <w:rPr>
      <w:rFonts w:ascii="Segoe UI" w:hAnsi="Segoe UI" w:cs="Segoe UI"/>
      <w:sz w:val="18"/>
      <w:szCs w:val="18"/>
    </w:rPr>
  </w:style>
  <w:style w:type="paragraph" w:styleId="Rvision">
    <w:name w:val="Revision"/>
    <w:hidden/>
    <w:uiPriority w:val="99"/>
    <w:semiHidden/>
    <w:rsid w:val="00C53685"/>
    <w:pPr>
      <w:spacing w:after="0" w:line="240" w:lineRule="auto"/>
    </w:pPr>
  </w:style>
  <w:style w:type="character" w:customStyle="1" w:styleId="ParagraphedelisteCar">
    <w:name w:val="Paragraphe de liste Car"/>
    <w:aliases w:val="List Paragraph (numbered (a)) Car,Yellow Bullet Car,Normal bullet 2 Car,Paragraph Car,Bullets Car,Indent Paragraph Car,Lettre d'introduction Car,Paragraphe de liste PBLH Car,Graph &amp; Table tite Car,Bullet Points Car,References Car"/>
    <w:basedOn w:val="Policepardfaut"/>
    <w:link w:val="Paragraphedeliste"/>
    <w:uiPriority w:val="34"/>
    <w:qFormat/>
    <w:locked/>
    <w:rsid w:val="000535CB"/>
  </w:style>
  <w:style w:type="paragraph" w:styleId="En-tte">
    <w:name w:val="header"/>
    <w:basedOn w:val="Normal"/>
    <w:link w:val="En-tteCar"/>
    <w:uiPriority w:val="99"/>
    <w:unhideWhenUsed/>
    <w:rsid w:val="000535CB"/>
    <w:pPr>
      <w:tabs>
        <w:tab w:val="center" w:pos="4680"/>
        <w:tab w:val="right" w:pos="9360"/>
      </w:tabs>
      <w:spacing w:after="0" w:line="240" w:lineRule="auto"/>
    </w:pPr>
  </w:style>
  <w:style w:type="character" w:customStyle="1" w:styleId="En-tteCar">
    <w:name w:val="En-tête Car"/>
    <w:basedOn w:val="Policepardfaut"/>
    <w:link w:val="En-tte"/>
    <w:uiPriority w:val="99"/>
    <w:rsid w:val="000535CB"/>
  </w:style>
  <w:style w:type="table" w:styleId="Grilledutableau">
    <w:name w:val="Table Grid"/>
    <w:basedOn w:val="TableauNormal"/>
    <w:uiPriority w:val="39"/>
    <w:rsid w:val="002240E7"/>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240E7"/>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styleId="lev">
    <w:name w:val="Strong"/>
    <w:basedOn w:val="Policepardfaut"/>
    <w:uiPriority w:val="22"/>
    <w:qFormat/>
    <w:rsid w:val="003557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140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00F21-2783-4956-BB03-89A63F5F2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1772</Words>
  <Characters>9746</Characters>
  <Application>Microsoft Office Word</Application>
  <DocSecurity>0</DocSecurity>
  <Lines>81</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Gaussin</dc:creator>
  <cp:keywords/>
  <dc:description/>
  <cp:lastModifiedBy>chilove.celestin</cp:lastModifiedBy>
  <cp:revision>2</cp:revision>
  <cp:lastPrinted>2025-11-28T13:40:00Z</cp:lastPrinted>
  <dcterms:created xsi:type="dcterms:W3CDTF">2026-07-30T20:55:00Z</dcterms:created>
  <dcterms:modified xsi:type="dcterms:W3CDTF">2026-07-30T20:55:00Z</dcterms:modified>
</cp:coreProperties>
</file>